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40"/>
      </w:pPr>
      <w:r>
        <w:rPr>
          <w:rFonts w:ascii="Calibri" w:hAnsi="Calibri"/>
          <w:b/>
          <w:i w:val="0"/>
          <w:color w:val="0B2545"/>
          <w:sz w:val="56"/>
        </w:rPr>
        <w:t>VOLTANEUM™</w:t>
      </w:r>
    </w:p>
    <w:p>
      <w:pPr>
        <w:spacing w:after="200"/>
      </w:pPr>
      <w:r>
        <w:rPr>
          <w:rFonts w:ascii="Calibri" w:hAnsi="Calibri"/>
          <w:b w:val="0"/>
          <w:i w:val="0"/>
          <w:color w:val="008294"/>
          <w:sz w:val="30"/>
        </w:rPr>
        <w:t>The Next Generation Dielectric Fluid for Immersion Cooling Infrastructure</w:t>
      </w:r>
    </w:p>
    <w:p>
      <w:pPr>
        <w:spacing w:after="40"/>
      </w:pPr>
      <w:r>
        <w:rPr>
          <w:rFonts w:ascii="Calibri" w:hAnsi="Calibri"/>
          <w:b/>
          <w:i w:val="0"/>
          <w:color w:val="14181F"/>
          <w:sz w:val="24"/>
        </w:rPr>
        <w:t>Livre blanc technique</w:t>
      </w:r>
    </w:p>
    <w:p>
      <w:pPr>
        <w:spacing w:after="320"/>
      </w:pPr>
      <w:r>
        <w:rPr>
          <w:rFonts w:ascii="Calibri" w:hAnsi="Calibri"/>
          <w:b w:val="0"/>
          <w:i w:val="0"/>
          <w:color w:val="4D5B6E"/>
          <w:sz w:val="22"/>
        </w:rPr>
        <w:t>Refroidissement par immersion pour datacenters IA, HPC, cloud et infrastructures haute densité</w:t>
      </w:r>
    </w:p>
    <w:p>
      <w:pPr>
        <w:jc w:val="center"/>
      </w:pPr>
      <w:r>
        <w:drawing>
          <wp:inline xmlns:a="http://schemas.openxmlformats.org/drawingml/2006/main" xmlns:pic="http://schemas.openxmlformats.org/drawingml/2006/picture">
            <wp:extent cx="5943600" cy="3345052"/>
            <wp:docPr id="1" name="Picture 1"/>
            <wp:cNvGraphicFramePr>
              <a:graphicFrameLocks noChangeAspect="1"/>
            </wp:cNvGraphicFramePr>
            <a:graphic>
              <a:graphicData uri="http://schemas.openxmlformats.org/drawingml/2006/picture">
                <pic:pic>
                  <pic:nvPicPr>
                    <pic:cNvPr id="0" name="ig_04621d013b2fd433016a023c9b91588191b811c1876ec5cb6d.png"/>
                    <pic:cNvPicPr/>
                  </pic:nvPicPr>
                  <pic:blipFill>
                    <a:blip r:embed="rId11"/>
                    <a:stretch>
                      <a:fillRect/>
                    </a:stretch>
                  </pic:blipFill>
                  <pic:spPr>
                    <a:xfrm>
                      <a:off x="0" y="0"/>
                      <a:ext cx="5943600" cy="3345052"/>
                    </a:xfrm>
                    <a:prstGeom prst="rect"/>
                  </pic:spPr>
                </pic:pic>
              </a:graphicData>
            </a:graphic>
          </wp:inline>
        </w:drawing>
      </w:r>
    </w:p>
    <w:tbl>
      <w:tblPr>
        <w:tblW w:type="dxa" w:w="9360"/>
        <w:jc w:val="center"/>
        <w:tblLayout w:type="fixed"/>
        <w:tblLook w:firstColumn="1" w:firstRow="1" w:lastColumn="0" w:lastRow="0" w:noHBand="0" w:noVBand="1" w:val="04A0"/>
      </w:tblPr>
      <w:tblGrid>
        <w:gridCol w:w="9360"/>
      </w:tblGrid>
      <w:tr>
        <w:tc>
          <w:tcPr>
            <w:tcW w:type="dxa" w:w="9360"/>
            <w:tcMar>
              <w:top w:w="100" w:type="dxa"/>
              <w:start w:w="140" w:type="dxa"/>
              <w:bottom w:w="100" w:type="dxa"/>
              <w:end w:w="140" w:type="dxa"/>
            </w:tcMar>
            <w:vAlign w:val="center"/>
            <w:shd w:fill="EAF3F6"/>
          </w:tcPr>
          <w:p>
            <w:pPr>
              <w:spacing w:after="60"/>
            </w:pPr>
            <w:r>
              <w:rPr>
                <w:rFonts w:ascii="Calibri" w:hAnsi="Calibri"/>
                <w:b/>
                <w:color w:val="0B2545"/>
                <w:sz w:val="22"/>
              </w:rPr>
              <w:t>Positionnement</w:t>
            </w:r>
          </w:p>
          <w:p>
            <w:pPr>
              <w:spacing w:after="0"/>
            </w:pPr>
            <w:r>
              <w:rPr>
                <w:rFonts w:ascii="Calibri" w:hAnsi="Calibri"/>
                <w:color w:val="14181F"/>
                <w:sz w:val="21"/>
              </w:rPr>
              <w:t>VOLTANEUM™ est un fluide diélectrique conçu pour accompagner les infrastructures numériques haute densité vers plus de performance thermique, de stabilité opérationnelle et d'efficacité énergétique.</w:t>
            </w:r>
          </w:p>
        </w:tc>
      </w:tr>
    </w:tbl>
    <w:p/>
    <w:p>
      <w:pPr>
        <w:jc w:val="right"/>
      </w:pPr>
      <w:r>
        <w:rPr>
          <w:rFonts w:ascii="Calibri" w:hAnsi="Calibri"/>
          <w:b w:val="0"/>
          <w:i w:val="0"/>
          <w:color w:val="4D5B6E"/>
          <w:sz w:val="18"/>
        </w:rPr>
        <w:t>Version de travail - Mai 2026</w:t>
      </w:r>
    </w:p>
    <w:p>
      <w:r>
        <w:br w:type="page"/>
      </w:r>
    </w:p>
    <w:p>
      <w:pPr>
        <w:pStyle w:val="Heading1"/>
      </w:pPr>
      <w:r>
        <w:rPr>
          <w:rFonts w:ascii="Calibri" w:hAnsi="Calibri"/>
          <w:b w:val="0"/>
          <w:i w:val="0"/>
        </w:rPr>
        <w:t>Sommaire</w:t>
      </w:r>
    </w:p>
    <w:p>
      <w:pPr>
        <w:pStyle w:val="ListBullet"/>
        <w:spacing w:after="80" w:line="276" w:lineRule="auto"/>
      </w:pPr>
      <w:r>
        <w:rPr>
          <w:rFonts w:ascii="Calibri" w:hAnsi="Calibri"/>
          <w:color w:val="14181F"/>
          <w:sz w:val="21"/>
        </w:rPr>
        <w:t>Synthèse exécutive</w:t>
      </w:r>
    </w:p>
    <w:p>
      <w:pPr>
        <w:pStyle w:val="ListBullet"/>
        <w:spacing w:after="80" w:line="276" w:lineRule="auto"/>
      </w:pPr>
      <w:r>
        <w:rPr>
          <w:rFonts w:ascii="Calibri" w:hAnsi="Calibri"/>
          <w:color w:val="14181F"/>
          <w:sz w:val="21"/>
        </w:rPr>
        <w:t>Vision stratégique</w:t>
      </w:r>
    </w:p>
    <w:p>
      <w:pPr>
        <w:pStyle w:val="ListBullet"/>
        <w:spacing w:after="80" w:line="276" w:lineRule="auto"/>
      </w:pPr>
      <w:r>
        <w:rPr>
          <w:rFonts w:ascii="Calibri" w:hAnsi="Calibri"/>
          <w:color w:val="14181F"/>
          <w:sz w:val="21"/>
        </w:rPr>
        <w:t>Qu'est-ce que VOLTANEUM™ ?</w:t>
      </w:r>
    </w:p>
    <w:p>
      <w:pPr>
        <w:pStyle w:val="ListBullet"/>
        <w:spacing w:after="80" w:line="276" w:lineRule="auto"/>
      </w:pPr>
      <w:r>
        <w:rPr>
          <w:rFonts w:ascii="Calibri" w:hAnsi="Calibri"/>
          <w:color w:val="14181F"/>
          <w:sz w:val="21"/>
        </w:rPr>
        <w:t>Pourquoi le refroidissement par air atteint ses limites</w:t>
      </w:r>
    </w:p>
    <w:p>
      <w:pPr>
        <w:pStyle w:val="ListBullet"/>
        <w:spacing w:after="80" w:line="276" w:lineRule="auto"/>
      </w:pPr>
      <w:r>
        <w:rPr>
          <w:rFonts w:ascii="Calibri" w:hAnsi="Calibri"/>
          <w:color w:val="14181F"/>
          <w:sz w:val="21"/>
        </w:rPr>
        <w:t>Principe et architecture de l’immersion cooling</w:t>
      </w:r>
    </w:p>
    <w:p>
      <w:pPr>
        <w:pStyle w:val="ListBullet"/>
        <w:spacing w:after="80" w:line="276" w:lineRule="auto"/>
      </w:pPr>
      <w:r>
        <w:rPr>
          <w:rFonts w:ascii="Calibri" w:hAnsi="Calibri"/>
          <w:color w:val="14181F"/>
          <w:sz w:val="21"/>
        </w:rPr>
        <w:t>Caracteristiques techniques critiques</w:t>
      </w:r>
    </w:p>
    <w:p>
      <w:pPr>
        <w:pStyle w:val="ListBullet"/>
        <w:spacing w:after="80" w:line="276" w:lineRule="auto"/>
      </w:pPr>
      <w:r>
        <w:rPr>
          <w:rFonts w:ascii="Calibri" w:hAnsi="Calibri"/>
          <w:color w:val="14181F"/>
          <w:sz w:val="21"/>
        </w:rPr>
        <w:t>Resultats techniques du fluide teste</w:t>
      </w:r>
    </w:p>
    <w:p>
      <w:pPr>
        <w:pStyle w:val="ListBullet"/>
        <w:spacing w:after="80" w:line="276" w:lineRule="auto"/>
      </w:pPr>
      <w:r>
        <w:rPr>
          <w:rFonts w:ascii="Calibri" w:hAnsi="Calibri"/>
          <w:color w:val="14181F"/>
          <w:sz w:val="21"/>
        </w:rPr>
        <w:t>Benefices opérationnels</w:t>
      </w:r>
    </w:p>
    <w:p>
      <w:pPr>
        <w:pStyle w:val="ListBullet"/>
        <w:spacing w:after="80" w:line="276" w:lineRule="auto"/>
      </w:pPr>
      <w:r>
        <w:rPr>
          <w:rFonts w:ascii="Calibri" w:hAnsi="Calibri"/>
          <w:color w:val="14181F"/>
          <w:sz w:val="21"/>
        </w:rPr>
        <w:t>Infrastructures IA nouvelle génération</w:t>
      </w:r>
    </w:p>
    <w:p>
      <w:pPr>
        <w:pStyle w:val="ListBullet"/>
        <w:spacing w:after="80" w:line="276" w:lineRule="auto"/>
      </w:pPr>
      <w:r>
        <w:rPr>
          <w:rFonts w:ascii="Calibri" w:hAnsi="Calibri"/>
          <w:color w:val="14181F"/>
          <w:sz w:val="21"/>
        </w:rPr>
        <w:t>PUE, efficacité énergétique et valorisation thermique</w:t>
      </w:r>
    </w:p>
    <w:p>
      <w:pPr>
        <w:pStyle w:val="ListBullet"/>
        <w:spacing w:after="80" w:line="276" w:lineRule="auto"/>
      </w:pPr>
      <w:r>
        <w:rPr>
          <w:rFonts w:ascii="Calibri" w:hAnsi="Calibri"/>
          <w:color w:val="14181F"/>
          <w:sz w:val="21"/>
        </w:rPr>
        <w:t>Fiabilite industrielle, cas d'usage et bonnes pratiques</w:t>
      </w:r>
    </w:p>
    <w:p>
      <w:pPr>
        <w:pStyle w:val="ListBullet"/>
        <w:spacing w:after="80" w:line="276" w:lineRule="auto"/>
      </w:pPr>
      <w:r>
        <w:rPr>
          <w:rFonts w:ascii="Calibri" w:hAnsi="Calibri"/>
          <w:color w:val="14181F"/>
          <w:sz w:val="21"/>
        </w:rPr>
        <w:t>Vision long terme, ITNET Technologies et disclaimer</w:t>
      </w:r>
    </w:p>
    <w:p>
      <w:r>
        <w:br w:type="page"/>
      </w:r>
    </w:p>
    <w:p>
      <w:pPr>
        <w:pStyle w:val="Heading1"/>
      </w:pPr>
      <w:r>
        <w:rPr>
          <w:rFonts w:ascii="Calibri" w:hAnsi="Calibri"/>
          <w:b w:val="0"/>
          <w:i w:val="0"/>
        </w:rPr>
        <w:t>Synthèse exécutive</w:t>
      </w:r>
    </w:p>
    <w:p>
      <w:r>
        <w:rPr>
          <w:rFonts w:ascii="Calibri" w:hAnsi="Calibri"/>
          <w:b w:val="0"/>
          <w:i w:val="0"/>
        </w:rPr>
        <w:t>Les infrastructures numériques entrent dans une phase critique. L’intelligence artificielle générative, le HPC, le cloud hyperscale et les architectures GPU haute densité imposent des niveaux thermiques que le refroidissement par air ne peut plus absorber efficacement sans complexité énergétique, acoustique et opérationnelle croissante.</w:t>
      </w:r>
    </w:p>
    <w:p>
      <w:r>
        <w:rPr>
          <w:rFonts w:ascii="Calibri" w:hAnsi="Calibri"/>
          <w:b w:val="0"/>
          <w:i w:val="0"/>
        </w:rPr>
        <w:t>L’immersion cooling apporte une réponse industrielle à cette transformation. En immergeant directement les composants électroniques dans un fluide diélectrique, il devient possible de transférer la chaleur à la source, d'augmenter la densité informatique, de réduire les besoins en climatisation et de stabiliser les environnements critiques.</w:t>
      </w:r>
    </w:p>
    <w:p>
      <w:r>
        <w:rPr>
          <w:rFonts w:ascii="Calibri" w:hAnsi="Calibri"/>
          <w:b w:val="0"/>
          <w:i w:val="0"/>
        </w:rPr>
        <w:t>VOLTANEUM™ est conçu pour accompagner cette transition. En combinant performance thermique, isolation électrique, stabilité chimique et durabilité opérationnelle, VOLTANEUM™ s’inscrit comme un composant stratégique des datacenters IA, HPC, cloud et infrastructures haute densité de nouvelle génération.</w:t>
      </w:r>
    </w:p>
    <w:p>
      <w:pPr>
        <w:pStyle w:val="Heading2"/>
      </w:pPr>
      <w:r>
        <w:rPr>
          <w:rFonts w:ascii="Calibri" w:hAnsi="Calibri"/>
          <w:b w:val="0"/>
          <w:i w:val="0"/>
        </w:rPr>
        <w:t>Chiffres cles</w:t>
      </w:r>
    </w:p>
    <w:tbl>
      <w:tblPr>
        <w:tblStyle w:val="TableGrid"/>
        <w:tblW w:type="dxa" w:w="9360"/>
        <w:jc w:val="center"/>
        <w:tblLayout w:type="fixed"/>
        <w:tblLook w:firstColumn="1" w:firstRow="1" w:lastColumn="0" w:lastRow="0" w:noHBand="0" w:noVBand="1" w:val="04A0"/>
      </w:tblPr>
      <w:tblGrid>
        <w:gridCol w:w="3000"/>
        <w:gridCol w:w="2600"/>
        <w:gridCol w:w="3760"/>
      </w:tblGrid>
      <w:tr>
        <w:tc>
          <w:tcPr>
            <w:tcW w:type="dxa" w:w="3000"/>
            <w:tcMar>
              <w:top w:w="100" w:type="dxa"/>
              <w:start w:w="140" w:type="dxa"/>
              <w:bottom w:w="100" w:type="dxa"/>
              <w:end w:w="140" w:type="dxa"/>
            </w:tcMar>
            <w:vAlign w:val="center"/>
            <w:shd w:fill="E8EEF5"/>
          </w:tcPr>
          <w:p>
            <w:pPr>
              <w:jc w:val="center"/>
            </w:pPr>
            <w:r>
              <w:rPr>
                <w:rFonts w:ascii="Calibri" w:hAnsi="Calibri"/>
                <w:b/>
                <w:color w:val="0B2545"/>
                <w:sz w:val="20"/>
              </w:rPr>
              <w:t>Indicateur</w:t>
            </w:r>
          </w:p>
        </w:tc>
        <w:tc>
          <w:tcPr>
            <w:tcW w:type="dxa" w:w="2600"/>
            <w:tcMar>
              <w:top w:w="100" w:type="dxa"/>
              <w:start w:w="140" w:type="dxa"/>
              <w:bottom w:w="100" w:type="dxa"/>
              <w:end w:w="140" w:type="dxa"/>
            </w:tcMar>
            <w:vAlign w:val="center"/>
            <w:shd w:fill="E8EEF5"/>
          </w:tcPr>
          <w:p>
            <w:pPr>
              <w:jc w:val="center"/>
            </w:pPr>
            <w:r>
              <w:rPr>
                <w:rFonts w:ascii="Calibri" w:hAnsi="Calibri"/>
                <w:b/>
                <w:color w:val="0B2545"/>
                <w:sz w:val="20"/>
              </w:rPr>
              <w:t>Air Cooling</w:t>
            </w:r>
          </w:p>
        </w:tc>
        <w:tc>
          <w:tcPr>
            <w:tcW w:type="dxa" w:w="3760"/>
            <w:tcMar>
              <w:top w:w="100" w:type="dxa"/>
              <w:start w:w="140" w:type="dxa"/>
              <w:bottom w:w="100" w:type="dxa"/>
              <w:end w:w="140" w:type="dxa"/>
            </w:tcMar>
            <w:vAlign w:val="center"/>
            <w:shd w:fill="E8EEF5"/>
          </w:tcPr>
          <w:p>
            <w:pPr>
              <w:jc w:val="center"/>
            </w:pPr>
            <w:r>
              <w:rPr>
                <w:rFonts w:ascii="Calibri" w:hAnsi="Calibri"/>
                <w:b/>
                <w:color w:val="0B2545"/>
                <w:sz w:val="20"/>
              </w:rPr>
              <w:t>Immersion Cooling avec VOLTANEUM™</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Densite rack typique</w:t>
            </w:r>
          </w:p>
        </w:tc>
        <w:tc>
          <w:tcPr>
            <w:tcW w:type="dxa" w:w="2600"/>
            <w:tcMar>
              <w:top w:w="100" w:type="dxa"/>
              <w:start w:w="140" w:type="dxa"/>
              <w:bottom w:w="100" w:type="dxa"/>
              <w:end w:w="140" w:type="dxa"/>
            </w:tcMar>
            <w:vAlign w:val="center"/>
          </w:tcPr>
          <w:p>
            <w:pPr>
              <w:jc w:val="center"/>
            </w:pPr>
            <w:r>
              <w:rPr>
                <w:rFonts w:ascii="Calibri" w:hAnsi="Calibri"/>
                <w:color w:val="14181F"/>
                <w:sz w:val="20"/>
              </w:rPr>
              <w:t>10-30 kW</w:t>
            </w:r>
          </w:p>
        </w:tc>
        <w:tc>
          <w:tcPr>
            <w:tcW w:type="dxa" w:w="3760"/>
            <w:tcMar>
              <w:top w:w="100" w:type="dxa"/>
              <w:start w:w="140" w:type="dxa"/>
              <w:bottom w:w="100" w:type="dxa"/>
              <w:end w:w="140" w:type="dxa"/>
            </w:tcMar>
            <w:vAlign w:val="center"/>
          </w:tcPr>
          <w:p>
            <w:pPr>
              <w:jc w:val="center"/>
            </w:pPr>
            <w:r>
              <w:rPr>
                <w:rFonts w:ascii="Calibri" w:hAnsi="Calibri"/>
                <w:color w:val="14181F"/>
                <w:sz w:val="20"/>
              </w:rPr>
              <w:t>80-150+ kW</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Bruit</w:t>
            </w:r>
          </w:p>
        </w:tc>
        <w:tc>
          <w:tcPr>
            <w:tcW w:type="dxa" w:w="2600"/>
            <w:tcMar>
              <w:top w:w="100" w:type="dxa"/>
              <w:start w:w="140" w:type="dxa"/>
              <w:bottom w:w="100" w:type="dxa"/>
              <w:end w:w="140" w:type="dxa"/>
            </w:tcMar>
            <w:vAlign w:val="center"/>
          </w:tcPr>
          <w:p>
            <w:pPr>
              <w:jc w:val="center"/>
            </w:pPr>
            <w:r>
              <w:rPr>
                <w:rFonts w:ascii="Calibri" w:hAnsi="Calibri"/>
                <w:color w:val="14181F"/>
                <w:sz w:val="20"/>
              </w:rPr>
              <w:t>Élevé</w:t>
            </w:r>
          </w:p>
        </w:tc>
        <w:tc>
          <w:tcPr>
            <w:tcW w:type="dxa" w:w="3760"/>
            <w:tcMar>
              <w:top w:w="100" w:type="dxa"/>
              <w:start w:w="140" w:type="dxa"/>
              <w:bottom w:w="100" w:type="dxa"/>
              <w:end w:w="140" w:type="dxa"/>
            </w:tcMar>
            <w:vAlign w:val="center"/>
          </w:tcPr>
          <w:p>
            <w:pPr>
              <w:jc w:val="center"/>
            </w:pPr>
            <w:r>
              <w:rPr>
                <w:rFonts w:ascii="Calibri" w:hAnsi="Calibri"/>
                <w:color w:val="14181F"/>
                <w:sz w:val="20"/>
              </w:rPr>
              <w:t>Faible</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Ventilateurs</w:t>
            </w:r>
          </w:p>
        </w:tc>
        <w:tc>
          <w:tcPr>
            <w:tcW w:type="dxa" w:w="2600"/>
            <w:tcMar>
              <w:top w:w="100" w:type="dxa"/>
              <w:start w:w="140" w:type="dxa"/>
              <w:bottom w:w="100" w:type="dxa"/>
              <w:end w:w="140" w:type="dxa"/>
            </w:tcMar>
            <w:vAlign w:val="center"/>
          </w:tcPr>
          <w:p>
            <w:pPr>
              <w:jc w:val="center"/>
            </w:pPr>
            <w:r>
              <w:rPr>
                <w:rFonts w:ascii="Calibri" w:hAnsi="Calibri"/>
                <w:color w:val="14181F"/>
                <w:sz w:val="20"/>
              </w:rPr>
              <w:t>Obligatoires</w:t>
            </w:r>
          </w:p>
        </w:tc>
        <w:tc>
          <w:tcPr>
            <w:tcW w:type="dxa" w:w="3760"/>
            <w:tcMar>
              <w:top w:w="100" w:type="dxa"/>
              <w:start w:w="140" w:type="dxa"/>
              <w:bottom w:w="100" w:type="dxa"/>
              <w:end w:w="140" w:type="dxa"/>
            </w:tcMar>
            <w:vAlign w:val="center"/>
          </w:tcPr>
          <w:p>
            <w:pPr>
              <w:jc w:val="center"/>
            </w:pPr>
            <w:r>
              <w:rPr>
                <w:rFonts w:ascii="Calibri" w:hAnsi="Calibri"/>
                <w:color w:val="14181F"/>
                <w:sz w:val="20"/>
              </w:rPr>
              <w:t>Réduits ou supprimés</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PUE cible</w:t>
            </w:r>
          </w:p>
        </w:tc>
        <w:tc>
          <w:tcPr>
            <w:tcW w:type="dxa" w:w="2600"/>
            <w:tcMar>
              <w:top w:w="100" w:type="dxa"/>
              <w:start w:w="140" w:type="dxa"/>
              <w:bottom w:w="100" w:type="dxa"/>
              <w:end w:w="140" w:type="dxa"/>
            </w:tcMar>
            <w:vAlign w:val="center"/>
          </w:tcPr>
          <w:p>
            <w:pPr>
              <w:jc w:val="center"/>
            </w:pPr>
            <w:r>
              <w:rPr>
                <w:rFonts w:ascii="Calibri" w:hAnsi="Calibri"/>
                <w:color w:val="14181F"/>
                <w:sz w:val="20"/>
              </w:rPr>
              <w:t>1.4-1.8</w:t>
            </w:r>
          </w:p>
        </w:tc>
        <w:tc>
          <w:tcPr>
            <w:tcW w:type="dxa" w:w="3760"/>
            <w:tcMar>
              <w:top w:w="100" w:type="dxa"/>
              <w:start w:w="140" w:type="dxa"/>
              <w:bottom w:w="100" w:type="dxa"/>
              <w:end w:w="140" w:type="dxa"/>
            </w:tcMar>
            <w:vAlign w:val="center"/>
          </w:tcPr>
          <w:p>
            <w:pPr>
              <w:jc w:val="center"/>
            </w:pPr>
            <w:r>
              <w:rPr>
                <w:rFonts w:ascii="Calibri" w:hAnsi="Calibri"/>
                <w:color w:val="14181F"/>
                <w:sz w:val="20"/>
              </w:rPr>
              <w:t>~1.03-1.15</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Sensibilite poussière</w:t>
            </w:r>
          </w:p>
        </w:tc>
        <w:tc>
          <w:tcPr>
            <w:tcW w:type="dxa" w:w="2600"/>
            <w:tcMar>
              <w:top w:w="100" w:type="dxa"/>
              <w:start w:w="140" w:type="dxa"/>
              <w:bottom w:w="100" w:type="dxa"/>
              <w:end w:w="140" w:type="dxa"/>
            </w:tcMar>
            <w:vAlign w:val="center"/>
          </w:tcPr>
          <w:p>
            <w:pPr>
              <w:jc w:val="center"/>
            </w:pPr>
            <w:r>
              <w:rPr>
                <w:rFonts w:ascii="Calibri" w:hAnsi="Calibri"/>
                <w:color w:val="14181F"/>
                <w:sz w:val="20"/>
              </w:rPr>
              <w:t>Forte</w:t>
            </w:r>
          </w:p>
        </w:tc>
        <w:tc>
          <w:tcPr>
            <w:tcW w:type="dxa" w:w="3760"/>
            <w:tcMar>
              <w:top w:w="100" w:type="dxa"/>
              <w:start w:w="140" w:type="dxa"/>
              <w:bottom w:w="100" w:type="dxa"/>
              <w:end w:w="140" w:type="dxa"/>
            </w:tcMar>
            <w:vAlign w:val="center"/>
          </w:tcPr>
          <w:p>
            <w:pPr>
              <w:jc w:val="center"/>
            </w:pPr>
            <w:r>
              <w:rPr>
                <w:rFonts w:ascii="Calibri" w:hAnsi="Calibri"/>
                <w:color w:val="14181F"/>
                <w:sz w:val="20"/>
              </w:rPr>
              <w:t>Très faible</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Gestion airflow</w:t>
            </w:r>
          </w:p>
        </w:tc>
        <w:tc>
          <w:tcPr>
            <w:tcW w:type="dxa" w:w="2600"/>
            <w:tcMar>
              <w:top w:w="100" w:type="dxa"/>
              <w:start w:w="140" w:type="dxa"/>
              <w:bottom w:w="100" w:type="dxa"/>
              <w:end w:w="140" w:type="dxa"/>
            </w:tcMar>
            <w:vAlign w:val="center"/>
          </w:tcPr>
          <w:p>
            <w:pPr>
              <w:jc w:val="center"/>
            </w:pPr>
            <w:r>
              <w:rPr>
                <w:rFonts w:ascii="Calibri" w:hAnsi="Calibri"/>
                <w:color w:val="14181F"/>
                <w:sz w:val="20"/>
              </w:rPr>
              <w:t>Complexe</w:t>
            </w:r>
          </w:p>
        </w:tc>
        <w:tc>
          <w:tcPr>
            <w:tcW w:type="dxa" w:w="3760"/>
            <w:tcMar>
              <w:top w:w="100" w:type="dxa"/>
              <w:start w:w="140" w:type="dxa"/>
              <w:bottom w:w="100" w:type="dxa"/>
              <w:end w:w="140" w:type="dxa"/>
            </w:tcMar>
            <w:vAlign w:val="center"/>
          </w:tcPr>
          <w:p>
            <w:pPr>
              <w:jc w:val="center"/>
            </w:pPr>
            <w:r>
              <w:rPr>
                <w:rFonts w:ascii="Calibri" w:hAnsi="Calibri"/>
                <w:color w:val="14181F"/>
                <w:sz w:val="20"/>
              </w:rPr>
              <w:t>Simplifiée</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Stabilite thermique</w:t>
            </w:r>
          </w:p>
        </w:tc>
        <w:tc>
          <w:tcPr>
            <w:tcW w:type="dxa" w:w="2600"/>
            <w:tcMar>
              <w:top w:w="100" w:type="dxa"/>
              <w:start w:w="140" w:type="dxa"/>
              <w:bottom w:w="100" w:type="dxa"/>
              <w:end w:w="140" w:type="dxa"/>
            </w:tcMar>
            <w:vAlign w:val="center"/>
          </w:tcPr>
          <w:p>
            <w:pPr>
              <w:jc w:val="center"/>
            </w:pPr>
            <w:r>
              <w:rPr>
                <w:rFonts w:ascii="Calibri" w:hAnsi="Calibri"/>
                <w:color w:val="14181F"/>
                <w:sz w:val="20"/>
              </w:rPr>
              <w:t>Variable</w:t>
            </w:r>
          </w:p>
        </w:tc>
        <w:tc>
          <w:tcPr>
            <w:tcW w:type="dxa" w:w="3760"/>
            <w:tcMar>
              <w:top w:w="100" w:type="dxa"/>
              <w:start w:w="140" w:type="dxa"/>
              <w:bottom w:w="100" w:type="dxa"/>
              <w:end w:w="140" w:type="dxa"/>
            </w:tcMar>
            <w:vAlign w:val="center"/>
          </w:tcPr>
          <w:p>
            <w:pPr>
              <w:jc w:val="center"/>
            </w:pPr>
            <w:r>
              <w:rPr>
                <w:rFonts w:ascii="Calibri" w:hAnsi="Calibri"/>
                <w:color w:val="14181F"/>
                <w:sz w:val="20"/>
              </w:rPr>
              <w:t>Élevée</w:t>
            </w:r>
          </w:p>
        </w:tc>
      </w:tr>
    </w:tbl>
    <w:p/>
    <w:tbl>
      <w:tblPr>
        <w:tblW w:type="dxa" w:w="9360"/>
        <w:jc w:val="center"/>
        <w:tblLayout w:type="fixed"/>
        <w:tblLook w:firstColumn="1" w:firstRow="1" w:lastColumn="0" w:lastRow="0" w:noHBand="0" w:noVBand="1" w:val="04A0"/>
      </w:tblPr>
      <w:tblGrid>
        <w:gridCol w:w="9360"/>
      </w:tblGrid>
      <w:tr>
        <w:tc>
          <w:tcPr>
            <w:tcW w:type="dxa" w:w="9360"/>
            <w:tcMar>
              <w:top w:w="100" w:type="dxa"/>
              <w:start w:w="140" w:type="dxa"/>
              <w:bottom w:w="100" w:type="dxa"/>
              <w:end w:w="140" w:type="dxa"/>
            </w:tcMar>
            <w:vAlign w:val="center"/>
            <w:shd w:fill="EAF3F6"/>
          </w:tcPr>
          <w:p>
            <w:pPr>
              <w:spacing w:after="60"/>
            </w:pPr>
            <w:r>
              <w:rPr>
                <w:rFonts w:ascii="Calibri" w:hAnsi="Calibri"/>
                <w:b/>
                <w:color w:val="0B2545"/>
                <w:sz w:val="22"/>
              </w:rPr>
              <w:t>Enjeu central</w:t>
            </w:r>
          </w:p>
          <w:p>
            <w:pPr>
              <w:spacing w:after="0"/>
            </w:pPr>
            <w:r>
              <w:rPr>
                <w:rFonts w:ascii="Calibri" w:hAnsi="Calibri"/>
                <w:color w:val="14181F"/>
                <w:sz w:val="21"/>
              </w:rPr>
              <w:t>Le refroidissement devient une decision d'infrastructure, pas seulement un sujet technique. La capacité a dissiper la chaleur conditionne la densité, le coût d’exploitation et la feuille de route IA des datacenters.</w:t>
            </w:r>
          </w:p>
        </w:tc>
      </w:tr>
    </w:tbl>
    <w:p/>
    <w:p>
      <w:pPr>
        <w:pStyle w:val="Heading1"/>
      </w:pPr>
      <w:r>
        <w:rPr>
          <w:rFonts w:ascii="Calibri" w:hAnsi="Calibri"/>
          <w:b w:val="0"/>
          <w:i w:val="0"/>
        </w:rPr>
        <w:t>1. Vision stratégique</w:t>
      </w:r>
    </w:p>
    <w:p>
      <w:r>
        <w:rPr>
          <w:rFonts w:ascii="Calibri" w:hAnsi="Calibri"/>
          <w:b w:val="0"/>
          <w:i w:val="0"/>
        </w:rPr>
        <w:t>Le monde numérique entre dans une nouvelle ere. L’intelligence artificielle, le calcul haute performance, les infrastructures cloud, les GPU haute densité et les systèmes de minage imposent des charges thermiques sans precedent.</w:t>
      </w:r>
    </w:p>
    <w:p>
      <w:r>
        <w:rPr>
          <w:rFonts w:ascii="Calibri" w:hAnsi="Calibri"/>
          <w:b w:val="0"/>
          <w:i w:val="0"/>
        </w:rPr>
        <w:t>Les datacenters traditionnels, historiquement conçus autour du refroidissement par air, atteignent progressivement leurs limites. L'augmentation de la puissance par rack, la concentration des composants et la continuité des charges de calcul rendent les systèmes de ventilation et de climatisation de plus en plus coûteux, complexes et energivores.</w:t>
      </w:r>
    </w:p>
    <w:p>
      <w:r>
        <w:rPr>
          <w:rFonts w:ascii="Calibri" w:hAnsi="Calibri"/>
          <w:b w:val="0"/>
          <w:i w:val="0"/>
        </w:rPr>
        <w:t>L’immersion cooling représente une rupture technologique majeure. En immergeant directement les composants électroniques dans un fluide diélectrique, cette approche permet de transférer la chaleur au plus près de sa source, tout en reduisant les pertes liees au refroidissement par air.</w:t>
      </w:r>
    </w:p>
    <w:p>
      <w:r>
        <w:rPr>
          <w:rFonts w:ascii="Calibri" w:hAnsi="Calibri"/>
          <w:b w:val="0"/>
          <w:i w:val="0"/>
        </w:rPr>
        <w:t>Dans cette transition, VOLTANEUM™ se positionne comme un fluide diélectrique nouvelle génération, conçu pour accompagner les infrastructures numériques intensives vers davantage de performance, de stabilité et d'efficacité énergétique.</w:t>
      </w:r>
    </w:p>
    <w:p>
      <w:pPr>
        <w:pStyle w:val="Heading1"/>
      </w:pPr>
      <w:r>
        <w:rPr>
          <w:rFonts w:ascii="Calibri" w:hAnsi="Calibri"/>
          <w:b w:val="0"/>
          <w:i w:val="0"/>
        </w:rPr>
        <w:t>2. Qu'est-ce que VOLTANEUM™ ?</w:t>
      </w:r>
    </w:p>
    <w:p>
      <w:pPr>
        <w:jc w:val="center"/>
      </w:pPr>
      <w:r>
        <w:drawing>
          <wp:inline xmlns:a="http://schemas.openxmlformats.org/drawingml/2006/main" xmlns:pic="http://schemas.openxmlformats.org/drawingml/2006/picture">
            <wp:extent cx="5760720" cy="3242128"/>
            <wp:docPr id="2" name="Picture 2"/>
            <wp:cNvGraphicFramePr>
              <a:graphicFrameLocks noChangeAspect="1"/>
            </wp:cNvGraphicFramePr>
            <a:graphic>
              <a:graphicData uri="http://schemas.openxmlformats.org/drawingml/2006/picture">
                <pic:pic>
                  <pic:nvPicPr>
                    <pic:cNvPr id="0" name="ig_04621d013b2fd433016a023cd5c3d4819186a791060bdab7e0.png"/>
                    <pic:cNvPicPr/>
                  </pic:nvPicPr>
                  <pic:blipFill>
                    <a:blip r:embed="rId12"/>
                    <a:stretch>
                      <a:fillRect/>
                    </a:stretch>
                  </pic:blipFill>
                  <pic:spPr>
                    <a:xfrm>
                      <a:off x="0" y="0"/>
                      <a:ext cx="5760720" cy="3242128"/>
                    </a:xfrm>
                    <a:prstGeom prst="rect"/>
                  </pic:spPr>
                </pic:pic>
              </a:graphicData>
            </a:graphic>
          </wp:inline>
        </w:drawing>
      </w:r>
    </w:p>
    <w:p>
      <w:pPr>
        <w:spacing w:after="200"/>
        <w:jc w:val="center"/>
      </w:pPr>
      <w:r>
        <w:rPr>
          <w:rFonts w:ascii="Calibri" w:hAnsi="Calibri"/>
          <w:b w:val="0"/>
          <w:i/>
          <w:color w:val="4D5B6E"/>
          <w:sz w:val="18"/>
        </w:rPr>
        <w:t>Figure 1 - Fluide diélectrique VOLTANEUM™ en environnement de test immersion.</w:t>
      </w:r>
    </w:p>
    <w:p>
      <w:r>
        <w:rPr>
          <w:rFonts w:ascii="Calibri" w:hAnsi="Calibri"/>
          <w:b w:val="0"/>
          <w:i w:val="0"/>
        </w:rPr>
        <w:t>VOLTANEUM™ est un fluide diélectrique destiné au refroidissement par immersion des équipements électroniques haute densité : serveurs, GPU, ASIC, équipements cloud, infrastructures IA, systèmes HPC, stockage haute densité et équipements IT critiques.</w:t>
      </w:r>
    </w:p>
    <w:p>
      <w:r>
        <w:rPr>
          <w:rFonts w:ascii="Calibri" w:hAnsi="Calibri"/>
          <w:b w:val="0"/>
          <w:i w:val="0"/>
        </w:rPr>
        <w:t>Le fluide joue quatre roles essentiels : transfert thermique, isolation électrique, stabilisation des températures et protection opérationnelle longue durée.</w:t>
      </w:r>
    </w:p>
    <w:p>
      <w:r>
        <w:rPr>
          <w:rFonts w:ascii="Calibri" w:hAnsi="Calibri"/>
          <w:b w:val="0"/>
          <w:i w:val="0"/>
        </w:rPr>
        <w:t>Contrairement aux architectures CRAC traditionnelles, qui refroidissent principalement l’air ambiant, l’immersion cooling permet de refroidir directement les composants électroniques. Cette proximité entre la source thermique et le fluide ameliore l'efficacité globale du système.</w:t>
      </w:r>
    </w:p>
    <w:p>
      <w:pPr>
        <w:pStyle w:val="Heading1"/>
      </w:pPr>
      <w:r>
        <w:rPr>
          <w:rFonts w:ascii="Calibri" w:hAnsi="Calibri"/>
          <w:b w:val="0"/>
          <w:i w:val="0"/>
        </w:rPr>
        <w:t>3. Pourquoi le refroidissement par air atteint ses limites</w:t>
      </w:r>
    </w:p>
    <w:p>
      <w:r>
        <w:rPr>
          <w:rFonts w:ascii="Calibri" w:hAnsi="Calibri"/>
          <w:b w:val="0"/>
          <w:i w:val="0"/>
        </w:rPr>
        <w:t>Le refroidissement par air à longtemps constitue le standard des datacenters. Mais face aux nouvelles densités de calcul, ses contraintes deviennent structurelles.</w:t>
      </w:r>
    </w:p>
    <w:tbl>
      <w:tblPr>
        <w:tblStyle w:val="TableGrid"/>
        <w:tblW w:type="dxa" w:w="9360"/>
        <w:jc w:val="center"/>
        <w:tblLayout w:type="fixed"/>
        <w:tblLook w:firstColumn="1" w:firstRow="1" w:lastColumn="0" w:lastRow="0" w:noHBand="0" w:noVBand="1" w:val="04A0"/>
      </w:tblPr>
      <w:tblGrid>
        <w:gridCol w:w="4300"/>
        <w:gridCol w:w="5060"/>
      </w:tblGrid>
      <w:tr>
        <w:tc>
          <w:tcPr>
            <w:tcW w:type="dxa" w:w="4300"/>
            <w:tcMar>
              <w:top w:w="100" w:type="dxa"/>
              <w:start w:w="140" w:type="dxa"/>
              <w:bottom w:w="100" w:type="dxa"/>
              <w:end w:w="140" w:type="dxa"/>
            </w:tcMar>
            <w:vAlign w:val="center"/>
            <w:shd w:fill="E8EEF5"/>
          </w:tcPr>
          <w:p>
            <w:pPr>
              <w:jc w:val="center"/>
            </w:pPr>
            <w:r>
              <w:rPr>
                <w:rFonts w:ascii="Calibri" w:hAnsi="Calibri"/>
                <w:b/>
                <w:color w:val="0B2545"/>
                <w:sz w:val="20"/>
              </w:rPr>
              <w:t>Limite du refroidissement par air</w:t>
            </w:r>
          </w:p>
        </w:tc>
        <w:tc>
          <w:tcPr>
            <w:tcW w:type="dxa" w:w="5060"/>
            <w:tcMar>
              <w:top w:w="100" w:type="dxa"/>
              <w:start w:w="140" w:type="dxa"/>
              <w:bottom w:w="100" w:type="dxa"/>
              <w:end w:w="140" w:type="dxa"/>
            </w:tcMar>
            <w:vAlign w:val="center"/>
            <w:shd w:fill="E8EEF5"/>
          </w:tcPr>
          <w:p>
            <w:pPr>
              <w:jc w:val="center"/>
            </w:pPr>
            <w:r>
              <w:rPr>
                <w:rFonts w:ascii="Calibri" w:hAnsi="Calibri"/>
                <w:b/>
                <w:color w:val="0B2545"/>
                <w:sz w:val="20"/>
              </w:rPr>
              <w:t>Impact opérationnel</w:t>
            </w:r>
          </w:p>
        </w:tc>
      </w:tr>
      <w:tr>
        <w:tc>
          <w:tcPr>
            <w:tcW w:type="dxa" w:w="4300"/>
            <w:tcMar>
              <w:top w:w="100" w:type="dxa"/>
              <w:start w:w="140" w:type="dxa"/>
              <w:bottom w:w="100" w:type="dxa"/>
              <w:end w:w="140" w:type="dxa"/>
            </w:tcMar>
            <w:vAlign w:val="center"/>
          </w:tcPr>
          <w:p>
            <w:pPr>
              <w:jc w:val="left"/>
            </w:pPr>
            <w:r>
              <w:rPr>
                <w:rFonts w:ascii="Calibri" w:hAnsi="Calibri"/>
                <w:color w:val="14181F"/>
                <w:sz w:val="20"/>
              </w:rPr>
              <w:t>Forte dépendance à la climatisation</w:t>
            </w:r>
          </w:p>
        </w:tc>
        <w:tc>
          <w:tcPr>
            <w:tcW w:type="dxa" w:w="5060"/>
            <w:tcMar>
              <w:top w:w="100" w:type="dxa"/>
              <w:start w:w="140" w:type="dxa"/>
              <w:bottom w:w="100" w:type="dxa"/>
              <w:end w:w="140" w:type="dxa"/>
            </w:tcMar>
            <w:vAlign w:val="center"/>
          </w:tcPr>
          <w:p>
            <w:pPr>
              <w:jc w:val="center"/>
            </w:pPr>
            <w:r>
              <w:rPr>
                <w:rFonts w:ascii="Calibri" w:hAnsi="Calibri"/>
                <w:color w:val="14181F"/>
                <w:sz w:val="20"/>
              </w:rPr>
              <w:t>Consommation énergétique élevée</w:t>
            </w:r>
          </w:p>
        </w:tc>
      </w:tr>
      <w:tr>
        <w:tc>
          <w:tcPr>
            <w:tcW w:type="dxa" w:w="4300"/>
            <w:tcMar>
              <w:top w:w="100" w:type="dxa"/>
              <w:start w:w="140" w:type="dxa"/>
              <w:bottom w:w="100" w:type="dxa"/>
              <w:end w:w="140" w:type="dxa"/>
            </w:tcMar>
            <w:vAlign w:val="center"/>
          </w:tcPr>
          <w:p>
            <w:pPr>
              <w:jc w:val="left"/>
            </w:pPr>
            <w:r>
              <w:rPr>
                <w:rFonts w:ascii="Calibri" w:hAnsi="Calibri"/>
                <w:color w:val="14181F"/>
                <w:sz w:val="20"/>
              </w:rPr>
              <w:t>Ventilateurs haute vitesse</w:t>
            </w:r>
          </w:p>
        </w:tc>
        <w:tc>
          <w:tcPr>
            <w:tcW w:type="dxa" w:w="5060"/>
            <w:tcMar>
              <w:top w:w="100" w:type="dxa"/>
              <w:start w:w="140" w:type="dxa"/>
              <w:bottom w:w="100" w:type="dxa"/>
              <w:end w:w="140" w:type="dxa"/>
            </w:tcMar>
            <w:vAlign w:val="center"/>
          </w:tcPr>
          <w:p>
            <w:pPr>
              <w:jc w:val="center"/>
            </w:pPr>
            <w:r>
              <w:rPr>
                <w:rFonts w:ascii="Calibri" w:hAnsi="Calibri"/>
                <w:color w:val="14181F"/>
                <w:sz w:val="20"/>
              </w:rPr>
              <w:t>Bruit, vibrations, usure mécanique</w:t>
            </w:r>
          </w:p>
        </w:tc>
      </w:tr>
      <w:tr>
        <w:tc>
          <w:tcPr>
            <w:tcW w:type="dxa" w:w="4300"/>
            <w:tcMar>
              <w:top w:w="100" w:type="dxa"/>
              <w:start w:w="140" w:type="dxa"/>
              <w:bottom w:w="100" w:type="dxa"/>
              <w:end w:w="140" w:type="dxa"/>
            </w:tcMar>
            <w:vAlign w:val="center"/>
          </w:tcPr>
          <w:p>
            <w:pPr>
              <w:jc w:val="left"/>
            </w:pPr>
            <w:r>
              <w:rPr>
                <w:rFonts w:ascii="Calibri" w:hAnsi="Calibri"/>
                <w:color w:val="14181F"/>
                <w:sz w:val="20"/>
              </w:rPr>
              <w:t>Gestion complexe des flux d’air</w:t>
            </w:r>
          </w:p>
        </w:tc>
        <w:tc>
          <w:tcPr>
            <w:tcW w:type="dxa" w:w="5060"/>
            <w:tcMar>
              <w:top w:w="100" w:type="dxa"/>
              <w:start w:w="140" w:type="dxa"/>
              <w:bottom w:w="100" w:type="dxa"/>
              <w:end w:w="140" w:type="dxa"/>
            </w:tcMar>
            <w:vAlign w:val="center"/>
          </w:tcPr>
          <w:p>
            <w:pPr>
              <w:jc w:val="center"/>
            </w:pPr>
            <w:r>
              <w:rPr>
                <w:rFonts w:ascii="Calibri" w:hAnsi="Calibri"/>
                <w:color w:val="14181F"/>
                <w:sz w:val="20"/>
              </w:rPr>
              <w:t>Architecture coûteuse et sensible</w:t>
            </w:r>
          </w:p>
        </w:tc>
      </w:tr>
      <w:tr>
        <w:tc>
          <w:tcPr>
            <w:tcW w:type="dxa" w:w="4300"/>
            <w:tcMar>
              <w:top w:w="100" w:type="dxa"/>
              <w:start w:w="140" w:type="dxa"/>
              <w:bottom w:w="100" w:type="dxa"/>
              <w:end w:w="140" w:type="dxa"/>
            </w:tcMar>
            <w:vAlign w:val="center"/>
          </w:tcPr>
          <w:p>
            <w:pPr>
              <w:jc w:val="left"/>
            </w:pPr>
            <w:r>
              <w:rPr>
                <w:rFonts w:ascii="Calibri" w:hAnsi="Calibri"/>
                <w:color w:val="14181F"/>
                <w:sz w:val="20"/>
              </w:rPr>
              <w:t>Points chauds dans les racks</w:t>
            </w:r>
          </w:p>
        </w:tc>
        <w:tc>
          <w:tcPr>
            <w:tcW w:type="dxa" w:w="5060"/>
            <w:tcMar>
              <w:top w:w="100" w:type="dxa"/>
              <w:start w:w="140" w:type="dxa"/>
              <w:bottom w:w="100" w:type="dxa"/>
              <w:end w:w="140" w:type="dxa"/>
            </w:tcMar>
            <w:vAlign w:val="center"/>
          </w:tcPr>
          <w:p>
            <w:pPr>
              <w:jc w:val="center"/>
            </w:pPr>
            <w:r>
              <w:rPr>
                <w:rFonts w:ascii="Calibri" w:hAnsi="Calibri"/>
                <w:color w:val="14181F"/>
                <w:sz w:val="20"/>
              </w:rPr>
              <w:t>Instabilité thermique</w:t>
            </w:r>
          </w:p>
        </w:tc>
      </w:tr>
      <w:tr>
        <w:tc>
          <w:tcPr>
            <w:tcW w:type="dxa" w:w="4300"/>
            <w:tcMar>
              <w:top w:w="100" w:type="dxa"/>
              <w:start w:w="140" w:type="dxa"/>
              <w:bottom w:w="100" w:type="dxa"/>
              <w:end w:w="140" w:type="dxa"/>
            </w:tcMar>
            <w:vAlign w:val="center"/>
          </w:tcPr>
          <w:p>
            <w:pPr>
              <w:jc w:val="left"/>
            </w:pPr>
            <w:r>
              <w:rPr>
                <w:rFonts w:ascii="Calibri" w:hAnsi="Calibri"/>
                <w:color w:val="14181F"/>
                <w:sz w:val="20"/>
              </w:rPr>
              <w:t>Densite limitée</w:t>
            </w:r>
          </w:p>
        </w:tc>
        <w:tc>
          <w:tcPr>
            <w:tcW w:type="dxa" w:w="5060"/>
            <w:tcMar>
              <w:top w:w="100" w:type="dxa"/>
              <w:start w:w="140" w:type="dxa"/>
              <w:bottom w:w="100" w:type="dxa"/>
              <w:end w:w="140" w:type="dxa"/>
            </w:tcMar>
            <w:vAlign w:val="center"/>
          </w:tcPr>
          <w:p>
            <w:pPr>
              <w:jc w:val="center"/>
            </w:pPr>
            <w:r>
              <w:rPr>
                <w:rFonts w:ascii="Calibri" w:hAnsi="Calibri"/>
                <w:color w:val="14181F"/>
                <w:sz w:val="20"/>
              </w:rPr>
              <w:t>Frein aux infrastructures IA/HPC</w:t>
            </w:r>
          </w:p>
        </w:tc>
      </w:tr>
      <w:tr>
        <w:tc>
          <w:tcPr>
            <w:tcW w:type="dxa" w:w="4300"/>
            <w:tcMar>
              <w:top w:w="100" w:type="dxa"/>
              <w:start w:w="140" w:type="dxa"/>
              <w:bottom w:w="100" w:type="dxa"/>
              <w:end w:w="140" w:type="dxa"/>
            </w:tcMar>
            <w:vAlign w:val="center"/>
          </w:tcPr>
          <w:p>
            <w:pPr>
              <w:jc w:val="left"/>
            </w:pPr>
            <w:r>
              <w:rPr>
                <w:rFonts w:ascii="Calibri" w:hAnsi="Calibri"/>
                <w:color w:val="14181F"/>
                <w:sz w:val="20"/>
              </w:rPr>
              <w:t>Poussiere et pollution atmospherique</w:t>
            </w:r>
          </w:p>
        </w:tc>
        <w:tc>
          <w:tcPr>
            <w:tcW w:type="dxa" w:w="5060"/>
            <w:tcMar>
              <w:top w:w="100" w:type="dxa"/>
              <w:start w:w="140" w:type="dxa"/>
              <w:bottom w:w="100" w:type="dxa"/>
              <w:end w:w="140" w:type="dxa"/>
            </w:tcMar>
            <w:vAlign w:val="center"/>
          </w:tcPr>
          <w:p>
            <w:pPr>
              <w:jc w:val="center"/>
            </w:pPr>
            <w:r>
              <w:rPr>
                <w:rFonts w:ascii="Calibri" w:hAnsi="Calibri"/>
                <w:color w:val="14181F"/>
                <w:sz w:val="20"/>
              </w:rPr>
              <w:t>Maintenance accrue</w:t>
            </w:r>
          </w:p>
        </w:tc>
      </w:tr>
      <w:tr>
        <w:tc>
          <w:tcPr>
            <w:tcW w:type="dxa" w:w="4300"/>
            <w:tcMar>
              <w:top w:w="100" w:type="dxa"/>
              <w:start w:w="140" w:type="dxa"/>
              <w:bottom w:w="100" w:type="dxa"/>
              <w:end w:w="140" w:type="dxa"/>
            </w:tcMar>
            <w:vAlign w:val="center"/>
          </w:tcPr>
          <w:p>
            <w:pPr>
              <w:jc w:val="left"/>
            </w:pPr>
            <w:r>
              <w:rPr>
                <w:rFonts w:ascii="Calibri" w:hAnsi="Calibri"/>
                <w:color w:val="14181F"/>
                <w:sz w:val="20"/>
              </w:rPr>
              <w:t>PUE difficile a optimiser</w:t>
            </w:r>
          </w:p>
        </w:tc>
        <w:tc>
          <w:tcPr>
            <w:tcW w:type="dxa" w:w="5060"/>
            <w:tcMar>
              <w:top w:w="100" w:type="dxa"/>
              <w:start w:w="140" w:type="dxa"/>
              <w:bottom w:w="100" w:type="dxa"/>
              <w:end w:w="140" w:type="dxa"/>
            </w:tcMar>
            <w:vAlign w:val="center"/>
          </w:tcPr>
          <w:p>
            <w:pPr>
              <w:jc w:val="center"/>
            </w:pPr>
            <w:r>
              <w:rPr>
                <w:rFonts w:ascii="Calibri" w:hAnsi="Calibri"/>
                <w:color w:val="14181F"/>
                <w:sz w:val="20"/>
              </w:rPr>
              <w:t>Cout d’exploitation superieur</w:t>
            </w:r>
          </w:p>
        </w:tc>
      </w:tr>
    </w:tbl>
    <w:p/>
    <w:p>
      <w:r>
        <w:rPr>
          <w:rFonts w:ascii="Calibri" w:hAnsi="Calibri"/>
          <w:b w:val="0"/>
          <w:i w:val="0"/>
        </w:rPr>
        <w:t>Les infrastructures IA et HPC peuvent désormais viser des densités tres élevées, parfois supérieures à 80 kW par rack, 120 kW par rack, voire davantage dans les environnements GPU ultra-denses. À ces niveaux, le refroidissement par air devient moins efficace, plus bruyant et plus difficile a maîtriser.</w:t>
      </w:r>
    </w:p>
    <w:p>
      <w:pPr>
        <w:pStyle w:val="Heading2"/>
      </w:pPr>
      <w:r>
        <w:rPr>
          <w:rFonts w:ascii="Calibri" w:hAnsi="Calibri"/>
          <w:b w:val="0"/>
          <w:i w:val="0"/>
        </w:rPr>
        <w:t>Comparatif : Air Cooling vs Immersion Cooling</w:t>
      </w:r>
    </w:p>
    <w:tbl>
      <w:tblPr>
        <w:tblStyle w:val="TableGrid"/>
        <w:tblW w:type="dxa" w:w="9360"/>
        <w:jc w:val="center"/>
        <w:tblLayout w:type="fixed"/>
        <w:tblLook w:firstColumn="1" w:firstRow="1" w:lastColumn="0" w:lastRow="0" w:noHBand="0" w:noVBand="1" w:val="04A0"/>
      </w:tblPr>
      <w:tblGrid>
        <w:gridCol w:w="2450"/>
        <w:gridCol w:w="3300"/>
        <w:gridCol w:w="3610"/>
      </w:tblGrid>
      <w:tr>
        <w:tc>
          <w:tcPr>
            <w:tcW w:type="dxa" w:w="2450"/>
            <w:tcMar>
              <w:top w:w="100" w:type="dxa"/>
              <w:start w:w="140" w:type="dxa"/>
              <w:bottom w:w="100" w:type="dxa"/>
              <w:end w:w="140" w:type="dxa"/>
            </w:tcMar>
            <w:vAlign w:val="center"/>
            <w:shd w:fill="E8EEF5"/>
          </w:tcPr>
          <w:p>
            <w:pPr>
              <w:jc w:val="center"/>
            </w:pPr>
            <w:r>
              <w:rPr>
                <w:rFonts w:ascii="Calibri" w:hAnsi="Calibri"/>
                <w:b/>
                <w:color w:val="0B2545"/>
                <w:sz w:val="19"/>
              </w:rPr>
              <w:t>Critere</w:t>
            </w:r>
          </w:p>
        </w:tc>
        <w:tc>
          <w:tcPr>
            <w:tcW w:type="dxa" w:w="3300"/>
            <w:tcMar>
              <w:top w:w="100" w:type="dxa"/>
              <w:start w:w="140" w:type="dxa"/>
              <w:bottom w:w="100" w:type="dxa"/>
              <w:end w:w="140" w:type="dxa"/>
            </w:tcMar>
            <w:vAlign w:val="center"/>
            <w:shd w:fill="E8EEF5"/>
          </w:tcPr>
          <w:p>
            <w:pPr>
              <w:jc w:val="center"/>
            </w:pPr>
            <w:r>
              <w:rPr>
                <w:rFonts w:ascii="Calibri" w:hAnsi="Calibri"/>
                <w:b/>
                <w:color w:val="0B2545"/>
                <w:sz w:val="19"/>
              </w:rPr>
              <w:t>Air cooling traditionnel</w:t>
            </w:r>
          </w:p>
        </w:tc>
        <w:tc>
          <w:tcPr>
            <w:tcW w:type="dxa" w:w="3610"/>
            <w:tcMar>
              <w:top w:w="100" w:type="dxa"/>
              <w:start w:w="140" w:type="dxa"/>
              <w:bottom w:w="100" w:type="dxa"/>
              <w:end w:w="140" w:type="dxa"/>
            </w:tcMar>
            <w:vAlign w:val="center"/>
            <w:shd w:fill="E8EEF5"/>
          </w:tcPr>
          <w:p>
            <w:pPr>
              <w:jc w:val="center"/>
            </w:pPr>
            <w:r>
              <w:rPr>
                <w:rFonts w:ascii="Calibri" w:hAnsi="Calibri"/>
                <w:b/>
                <w:color w:val="0B2545"/>
                <w:sz w:val="19"/>
              </w:rPr>
              <w:t>Immersion cooling avec VOLTANEUM™</w:t>
            </w:r>
          </w:p>
        </w:tc>
      </w:tr>
      <w:tr>
        <w:tc>
          <w:tcPr>
            <w:tcW w:type="dxa" w:w="2450"/>
            <w:tcMar>
              <w:top w:w="100" w:type="dxa"/>
              <w:start w:w="140" w:type="dxa"/>
              <w:bottom w:w="100" w:type="dxa"/>
              <w:end w:w="140" w:type="dxa"/>
            </w:tcMar>
            <w:vAlign w:val="center"/>
          </w:tcPr>
          <w:p>
            <w:pPr>
              <w:jc w:val="left"/>
            </w:pPr>
            <w:r>
              <w:rPr>
                <w:rFonts w:ascii="Calibri" w:hAnsi="Calibri"/>
                <w:color w:val="14181F"/>
                <w:sz w:val="18"/>
              </w:rPr>
              <w:t>Mode de refroidissement</w:t>
            </w:r>
          </w:p>
        </w:tc>
        <w:tc>
          <w:tcPr>
            <w:tcW w:type="dxa" w:w="3300"/>
            <w:tcMar>
              <w:top w:w="100" w:type="dxa"/>
              <w:start w:w="140" w:type="dxa"/>
              <w:bottom w:w="100" w:type="dxa"/>
              <w:end w:w="140" w:type="dxa"/>
            </w:tcMar>
            <w:vAlign w:val="center"/>
          </w:tcPr>
          <w:p>
            <w:pPr>
              <w:jc w:val="center"/>
            </w:pPr>
            <w:r>
              <w:rPr>
                <w:rFonts w:ascii="Calibri" w:hAnsi="Calibri"/>
                <w:color w:val="14181F"/>
                <w:sz w:val="18"/>
              </w:rPr>
              <w:t>Refroidissement de l’air ambiant</w:t>
            </w:r>
          </w:p>
        </w:tc>
        <w:tc>
          <w:tcPr>
            <w:tcW w:type="dxa" w:w="3610"/>
            <w:tcMar>
              <w:top w:w="100" w:type="dxa"/>
              <w:start w:w="140" w:type="dxa"/>
              <w:bottom w:w="100" w:type="dxa"/>
              <w:end w:w="140" w:type="dxa"/>
            </w:tcMar>
            <w:vAlign w:val="center"/>
          </w:tcPr>
          <w:p>
            <w:pPr>
              <w:jc w:val="center"/>
            </w:pPr>
            <w:r>
              <w:rPr>
                <w:rFonts w:ascii="Calibri" w:hAnsi="Calibri"/>
                <w:color w:val="14181F"/>
                <w:sz w:val="18"/>
              </w:rPr>
              <w:t>Refroidissement direct des composants</w:t>
            </w:r>
          </w:p>
        </w:tc>
      </w:tr>
      <w:tr>
        <w:tc>
          <w:tcPr>
            <w:tcW w:type="dxa" w:w="2450"/>
            <w:tcMar>
              <w:top w:w="100" w:type="dxa"/>
              <w:start w:w="140" w:type="dxa"/>
              <w:bottom w:w="100" w:type="dxa"/>
              <w:end w:w="140" w:type="dxa"/>
            </w:tcMar>
            <w:vAlign w:val="center"/>
          </w:tcPr>
          <w:p>
            <w:pPr>
              <w:jc w:val="left"/>
            </w:pPr>
            <w:r>
              <w:rPr>
                <w:rFonts w:ascii="Calibri" w:hAnsi="Calibri"/>
                <w:color w:val="14181F"/>
                <w:sz w:val="18"/>
              </w:rPr>
              <w:t>Efficacite thermique</w:t>
            </w:r>
          </w:p>
        </w:tc>
        <w:tc>
          <w:tcPr>
            <w:tcW w:type="dxa" w:w="3300"/>
            <w:tcMar>
              <w:top w:w="100" w:type="dxa"/>
              <w:start w:w="140" w:type="dxa"/>
              <w:bottom w:w="100" w:type="dxa"/>
              <w:end w:w="140" w:type="dxa"/>
            </w:tcMar>
            <w:vAlign w:val="center"/>
          </w:tcPr>
          <w:p>
            <w:pPr>
              <w:jc w:val="center"/>
            </w:pPr>
            <w:r>
              <w:rPr>
                <w:rFonts w:ascii="Calibri" w:hAnsi="Calibri"/>
                <w:color w:val="14181F"/>
                <w:sz w:val="18"/>
              </w:rPr>
              <w:t>Limitée par les flux d’air</w:t>
            </w:r>
          </w:p>
        </w:tc>
        <w:tc>
          <w:tcPr>
            <w:tcW w:type="dxa" w:w="3610"/>
            <w:tcMar>
              <w:top w:w="100" w:type="dxa"/>
              <w:start w:w="140" w:type="dxa"/>
              <w:bottom w:w="100" w:type="dxa"/>
              <w:end w:w="140" w:type="dxa"/>
            </w:tcMar>
            <w:vAlign w:val="center"/>
          </w:tcPr>
          <w:p>
            <w:pPr>
              <w:jc w:val="center"/>
            </w:pPr>
            <w:r>
              <w:rPr>
                <w:rFonts w:ascii="Calibri" w:hAnsi="Calibri"/>
                <w:color w:val="14181F"/>
                <w:sz w:val="18"/>
              </w:rPr>
              <w:t>Transfert direct via fluide</w:t>
            </w:r>
          </w:p>
        </w:tc>
      </w:tr>
      <w:tr>
        <w:tc>
          <w:tcPr>
            <w:tcW w:type="dxa" w:w="2450"/>
            <w:tcMar>
              <w:top w:w="100" w:type="dxa"/>
              <w:start w:w="140" w:type="dxa"/>
              <w:bottom w:w="100" w:type="dxa"/>
              <w:end w:w="140" w:type="dxa"/>
            </w:tcMar>
            <w:vAlign w:val="center"/>
          </w:tcPr>
          <w:p>
            <w:pPr>
              <w:jc w:val="left"/>
            </w:pPr>
            <w:r>
              <w:rPr>
                <w:rFonts w:ascii="Calibri" w:hAnsi="Calibri"/>
                <w:color w:val="14181F"/>
                <w:sz w:val="18"/>
              </w:rPr>
              <w:t>Densite par rack</w:t>
            </w:r>
          </w:p>
        </w:tc>
        <w:tc>
          <w:tcPr>
            <w:tcW w:type="dxa" w:w="3300"/>
            <w:tcMar>
              <w:top w:w="100" w:type="dxa"/>
              <w:start w:w="140" w:type="dxa"/>
              <w:bottom w:w="100" w:type="dxa"/>
              <w:end w:w="140" w:type="dxa"/>
            </w:tcMar>
            <w:vAlign w:val="center"/>
          </w:tcPr>
          <w:p>
            <w:pPr>
              <w:jc w:val="center"/>
            </w:pPr>
            <w:r>
              <w:rPr>
                <w:rFonts w:ascii="Calibri" w:hAnsi="Calibri"/>
                <w:color w:val="14181F"/>
                <w:sz w:val="18"/>
              </w:rPr>
              <w:t>Limitée</w:t>
            </w:r>
          </w:p>
        </w:tc>
        <w:tc>
          <w:tcPr>
            <w:tcW w:type="dxa" w:w="3610"/>
            <w:tcMar>
              <w:top w:w="100" w:type="dxa"/>
              <w:start w:w="140" w:type="dxa"/>
              <w:bottom w:w="100" w:type="dxa"/>
              <w:end w:w="140" w:type="dxa"/>
            </w:tcMar>
            <w:vAlign w:val="center"/>
          </w:tcPr>
          <w:p>
            <w:pPr>
              <w:jc w:val="center"/>
            </w:pPr>
            <w:r>
              <w:rPr>
                <w:rFonts w:ascii="Calibri" w:hAnsi="Calibri"/>
                <w:color w:val="14181F"/>
                <w:sz w:val="18"/>
              </w:rPr>
              <w:t>Compatible avec haute densité</w:t>
            </w:r>
          </w:p>
        </w:tc>
      </w:tr>
      <w:tr>
        <w:tc>
          <w:tcPr>
            <w:tcW w:type="dxa" w:w="2450"/>
            <w:tcMar>
              <w:top w:w="100" w:type="dxa"/>
              <w:start w:w="140" w:type="dxa"/>
              <w:bottom w:w="100" w:type="dxa"/>
              <w:end w:w="140" w:type="dxa"/>
            </w:tcMar>
            <w:vAlign w:val="center"/>
          </w:tcPr>
          <w:p>
            <w:pPr>
              <w:jc w:val="left"/>
            </w:pPr>
            <w:r>
              <w:rPr>
                <w:rFonts w:ascii="Calibri" w:hAnsi="Calibri"/>
                <w:color w:val="14181F"/>
                <w:sz w:val="18"/>
              </w:rPr>
              <w:t>Bruit</w:t>
            </w:r>
          </w:p>
        </w:tc>
        <w:tc>
          <w:tcPr>
            <w:tcW w:type="dxa" w:w="3300"/>
            <w:tcMar>
              <w:top w:w="100" w:type="dxa"/>
              <w:start w:w="140" w:type="dxa"/>
              <w:bottom w:w="100" w:type="dxa"/>
              <w:end w:w="140" w:type="dxa"/>
            </w:tcMar>
            <w:vAlign w:val="center"/>
          </w:tcPr>
          <w:p>
            <w:pPr>
              <w:jc w:val="center"/>
            </w:pPr>
            <w:r>
              <w:rPr>
                <w:rFonts w:ascii="Calibri" w:hAnsi="Calibri"/>
                <w:color w:val="14181F"/>
                <w:sz w:val="18"/>
              </w:rPr>
              <w:t>Élevé</w:t>
            </w:r>
          </w:p>
        </w:tc>
        <w:tc>
          <w:tcPr>
            <w:tcW w:type="dxa" w:w="3610"/>
            <w:tcMar>
              <w:top w:w="100" w:type="dxa"/>
              <w:start w:w="140" w:type="dxa"/>
              <w:bottom w:w="100" w:type="dxa"/>
              <w:end w:w="140" w:type="dxa"/>
            </w:tcMar>
            <w:vAlign w:val="center"/>
          </w:tcPr>
          <w:p>
            <w:pPr>
              <w:jc w:val="center"/>
            </w:pPr>
            <w:r>
              <w:rPr>
                <w:rFonts w:ascii="Calibri" w:hAnsi="Calibri"/>
                <w:color w:val="14181F"/>
                <w:sz w:val="18"/>
              </w:rPr>
              <w:t>Fortement reduit</w:t>
            </w:r>
          </w:p>
        </w:tc>
      </w:tr>
      <w:tr>
        <w:tc>
          <w:tcPr>
            <w:tcW w:type="dxa" w:w="2450"/>
            <w:tcMar>
              <w:top w:w="100" w:type="dxa"/>
              <w:start w:w="140" w:type="dxa"/>
              <w:bottom w:w="100" w:type="dxa"/>
              <w:end w:w="140" w:type="dxa"/>
            </w:tcMar>
            <w:vAlign w:val="center"/>
          </w:tcPr>
          <w:p>
            <w:pPr>
              <w:jc w:val="left"/>
            </w:pPr>
            <w:r>
              <w:rPr>
                <w:rFonts w:ascii="Calibri" w:hAnsi="Calibri"/>
                <w:color w:val="14181F"/>
                <w:sz w:val="18"/>
              </w:rPr>
              <w:t>Maintenance</w:t>
            </w:r>
          </w:p>
        </w:tc>
        <w:tc>
          <w:tcPr>
            <w:tcW w:type="dxa" w:w="3300"/>
            <w:tcMar>
              <w:top w:w="100" w:type="dxa"/>
              <w:start w:w="140" w:type="dxa"/>
              <w:bottom w:w="100" w:type="dxa"/>
              <w:end w:w="140" w:type="dxa"/>
            </w:tcMar>
            <w:vAlign w:val="center"/>
          </w:tcPr>
          <w:p>
            <w:pPr>
              <w:jc w:val="center"/>
            </w:pPr>
            <w:r>
              <w:rPr>
                <w:rFonts w:ascii="Calibri" w:hAnsi="Calibri"/>
                <w:color w:val="14181F"/>
                <w:sz w:val="18"/>
              </w:rPr>
              <w:t>Filtres, ventilateurs, poussière</w:t>
            </w:r>
          </w:p>
        </w:tc>
        <w:tc>
          <w:tcPr>
            <w:tcW w:type="dxa" w:w="3610"/>
            <w:tcMar>
              <w:top w:w="100" w:type="dxa"/>
              <w:start w:w="140" w:type="dxa"/>
              <w:bottom w:w="100" w:type="dxa"/>
              <w:end w:w="140" w:type="dxa"/>
            </w:tcMar>
            <w:vAlign w:val="center"/>
          </w:tcPr>
          <w:p>
            <w:pPr>
              <w:jc w:val="center"/>
            </w:pPr>
            <w:r>
              <w:rPr>
                <w:rFonts w:ascii="Calibri" w:hAnsi="Calibri"/>
                <w:color w:val="14181F"/>
                <w:sz w:val="18"/>
              </w:rPr>
              <w:t>Suivi fluide, filtration, monitoring</w:t>
            </w:r>
          </w:p>
        </w:tc>
      </w:tr>
      <w:tr>
        <w:tc>
          <w:tcPr>
            <w:tcW w:type="dxa" w:w="2450"/>
            <w:tcMar>
              <w:top w:w="100" w:type="dxa"/>
              <w:start w:w="140" w:type="dxa"/>
              <w:bottom w:w="100" w:type="dxa"/>
              <w:end w:w="140" w:type="dxa"/>
            </w:tcMar>
            <w:vAlign w:val="center"/>
          </w:tcPr>
          <w:p>
            <w:pPr>
              <w:jc w:val="left"/>
            </w:pPr>
            <w:r>
              <w:rPr>
                <w:rFonts w:ascii="Calibri" w:hAnsi="Calibri"/>
                <w:color w:val="14181F"/>
                <w:sz w:val="18"/>
              </w:rPr>
              <w:t>Points chauds</w:t>
            </w:r>
          </w:p>
        </w:tc>
        <w:tc>
          <w:tcPr>
            <w:tcW w:type="dxa" w:w="3300"/>
            <w:tcMar>
              <w:top w:w="100" w:type="dxa"/>
              <w:start w:w="140" w:type="dxa"/>
              <w:bottom w:w="100" w:type="dxa"/>
              <w:end w:w="140" w:type="dxa"/>
            </w:tcMar>
            <w:vAlign w:val="center"/>
          </w:tcPr>
          <w:p>
            <w:pPr>
              <w:jc w:val="center"/>
            </w:pPr>
            <w:r>
              <w:rPr>
                <w:rFonts w:ascii="Calibri" w:hAnsi="Calibri"/>
                <w:color w:val="14181F"/>
                <w:sz w:val="18"/>
              </w:rPr>
              <w:t>Fréquents dans les racks denses</w:t>
            </w:r>
          </w:p>
        </w:tc>
        <w:tc>
          <w:tcPr>
            <w:tcW w:type="dxa" w:w="3610"/>
            <w:tcMar>
              <w:top w:w="100" w:type="dxa"/>
              <w:start w:w="140" w:type="dxa"/>
              <w:bottom w:w="100" w:type="dxa"/>
              <w:end w:w="140" w:type="dxa"/>
            </w:tcMar>
            <w:vAlign w:val="center"/>
          </w:tcPr>
          <w:p>
            <w:pPr>
              <w:jc w:val="center"/>
            </w:pPr>
            <w:r>
              <w:rPr>
                <w:rFonts w:ascii="Calibri" w:hAnsi="Calibri"/>
                <w:color w:val="14181F"/>
                <w:sz w:val="18"/>
              </w:rPr>
              <w:t>Temperatures plus homogènes</w:t>
            </w:r>
          </w:p>
        </w:tc>
      </w:tr>
      <w:tr>
        <w:tc>
          <w:tcPr>
            <w:tcW w:type="dxa" w:w="2450"/>
            <w:tcMar>
              <w:top w:w="100" w:type="dxa"/>
              <w:start w:w="140" w:type="dxa"/>
              <w:bottom w:w="100" w:type="dxa"/>
              <w:end w:w="140" w:type="dxa"/>
            </w:tcMar>
            <w:vAlign w:val="center"/>
          </w:tcPr>
          <w:p>
            <w:pPr>
              <w:jc w:val="left"/>
            </w:pPr>
            <w:r>
              <w:rPr>
                <w:rFonts w:ascii="Calibri" w:hAnsi="Calibri"/>
                <w:color w:val="14181F"/>
                <w:sz w:val="18"/>
              </w:rPr>
              <w:t>PUE</w:t>
            </w:r>
          </w:p>
        </w:tc>
        <w:tc>
          <w:tcPr>
            <w:tcW w:type="dxa" w:w="3300"/>
            <w:tcMar>
              <w:top w:w="100" w:type="dxa"/>
              <w:start w:w="140" w:type="dxa"/>
              <w:bottom w:w="100" w:type="dxa"/>
              <w:end w:w="140" w:type="dxa"/>
            </w:tcMar>
            <w:vAlign w:val="center"/>
          </w:tcPr>
          <w:p>
            <w:pPr>
              <w:jc w:val="center"/>
            </w:pPr>
            <w:r>
              <w:rPr>
                <w:rFonts w:ascii="Calibri" w:hAnsi="Calibri"/>
                <w:color w:val="14181F"/>
                <w:sz w:val="18"/>
              </w:rPr>
              <w:t>Plus difficile a optimiser</w:t>
            </w:r>
          </w:p>
        </w:tc>
        <w:tc>
          <w:tcPr>
            <w:tcW w:type="dxa" w:w="3610"/>
            <w:tcMar>
              <w:top w:w="100" w:type="dxa"/>
              <w:start w:w="140" w:type="dxa"/>
              <w:bottom w:w="100" w:type="dxa"/>
              <w:end w:w="140" w:type="dxa"/>
            </w:tcMar>
            <w:vAlign w:val="center"/>
          </w:tcPr>
          <w:p>
            <w:pPr>
              <w:jc w:val="center"/>
            </w:pPr>
            <w:r>
              <w:rPr>
                <w:rFonts w:ascii="Calibri" w:hAnsi="Calibri"/>
                <w:color w:val="14181F"/>
                <w:sz w:val="18"/>
              </w:rPr>
              <w:t>Potentiel d'amélioration important</w:t>
            </w:r>
          </w:p>
        </w:tc>
      </w:tr>
      <w:tr>
        <w:tc>
          <w:tcPr>
            <w:tcW w:type="dxa" w:w="2450"/>
            <w:tcMar>
              <w:top w:w="100" w:type="dxa"/>
              <w:start w:w="140" w:type="dxa"/>
              <w:bottom w:w="100" w:type="dxa"/>
              <w:end w:w="140" w:type="dxa"/>
            </w:tcMar>
            <w:vAlign w:val="center"/>
          </w:tcPr>
          <w:p>
            <w:pPr>
              <w:jc w:val="left"/>
            </w:pPr>
            <w:r>
              <w:rPr>
                <w:rFonts w:ascii="Calibri" w:hAnsi="Calibri"/>
                <w:color w:val="14181F"/>
                <w:sz w:val="18"/>
              </w:rPr>
              <w:t>Architecture datacenter</w:t>
            </w:r>
          </w:p>
        </w:tc>
        <w:tc>
          <w:tcPr>
            <w:tcW w:type="dxa" w:w="3300"/>
            <w:tcMar>
              <w:top w:w="100" w:type="dxa"/>
              <w:start w:w="140" w:type="dxa"/>
              <w:bottom w:w="100" w:type="dxa"/>
              <w:end w:w="140" w:type="dxa"/>
            </w:tcMar>
            <w:vAlign w:val="center"/>
          </w:tcPr>
          <w:p>
            <w:pPr>
              <w:jc w:val="center"/>
            </w:pPr>
            <w:r>
              <w:rPr>
                <w:rFonts w:ascii="Calibri" w:hAnsi="Calibri"/>
                <w:color w:val="14181F"/>
                <w:sz w:val="18"/>
              </w:rPr>
              <w:t>Allées chaudes/froides, CRAC</w:t>
            </w:r>
          </w:p>
        </w:tc>
        <w:tc>
          <w:tcPr>
            <w:tcW w:type="dxa" w:w="3610"/>
            <w:tcMar>
              <w:top w:w="100" w:type="dxa"/>
              <w:start w:w="140" w:type="dxa"/>
              <w:bottom w:w="100" w:type="dxa"/>
              <w:end w:w="140" w:type="dxa"/>
            </w:tcMar>
            <w:vAlign w:val="center"/>
          </w:tcPr>
          <w:p>
            <w:pPr>
              <w:jc w:val="center"/>
            </w:pPr>
            <w:r>
              <w:rPr>
                <w:rFonts w:ascii="Calibri" w:hAnsi="Calibri"/>
                <w:color w:val="14181F"/>
                <w:sz w:val="18"/>
              </w:rPr>
              <w:t>Cuves, CDU, échangeurs thermiques</w:t>
            </w:r>
          </w:p>
        </w:tc>
      </w:tr>
    </w:tbl>
    <w:p/>
    <w:p>
      <w:pPr>
        <w:pStyle w:val="Heading1"/>
      </w:pPr>
      <w:r>
        <w:rPr>
          <w:rFonts w:ascii="Calibri" w:hAnsi="Calibri"/>
          <w:b w:val="0"/>
          <w:i w:val="0"/>
        </w:rPr>
        <w:t>4. Le principe de l’immersion cooling</w:t>
      </w:r>
    </w:p>
    <w:p>
      <w:r>
        <w:rPr>
          <w:rFonts w:ascii="Calibri" w:hAnsi="Calibri"/>
          <w:b w:val="0"/>
          <w:i w:val="0"/>
        </w:rPr>
        <w:t>L’immersion cooling consiste à placer les équipements électroniques dans un fluide diélectrique non conducteur. Ce fluide absorbe la chaleur produite par les composants, puis la transfere vers un échangeur thermique ou une boucle de refroidissement externe.</w:t>
      </w:r>
    </w:p>
    <w:p>
      <w:pPr>
        <w:pStyle w:val="Heading2"/>
      </w:pPr>
      <w:r>
        <w:rPr>
          <w:rFonts w:ascii="Calibri" w:hAnsi="Calibri"/>
          <w:b w:val="0"/>
          <w:i w:val="0"/>
        </w:rPr>
        <w:t>Immersion monophasique</w:t>
      </w:r>
    </w:p>
    <w:p>
      <w:pPr>
        <w:pStyle w:val="ListBullet"/>
        <w:spacing w:after="80" w:line="276" w:lineRule="auto"/>
      </w:pPr>
      <w:r>
        <w:rPr>
          <w:rFonts w:ascii="Calibri" w:hAnsi="Calibri"/>
          <w:color w:val="14181F"/>
          <w:sz w:val="21"/>
        </w:rPr>
        <w:t>Les composants produisent de la chaleur.</w:t>
      </w:r>
    </w:p>
    <w:p>
      <w:pPr>
        <w:pStyle w:val="ListBullet"/>
        <w:spacing w:after="80" w:line="276" w:lineRule="auto"/>
      </w:pPr>
      <w:r>
        <w:rPr>
          <w:rFonts w:ascii="Calibri" w:hAnsi="Calibri"/>
          <w:color w:val="14181F"/>
          <w:sz w:val="21"/>
        </w:rPr>
        <w:t>Le fluide diélectrique absorbe cette chaleur.</w:t>
      </w:r>
    </w:p>
    <w:p>
      <w:pPr>
        <w:pStyle w:val="ListBullet"/>
        <w:spacing w:after="80" w:line="276" w:lineRule="auto"/>
      </w:pPr>
      <w:r>
        <w:rPr>
          <w:rFonts w:ascii="Calibri" w:hAnsi="Calibri"/>
          <w:color w:val="14181F"/>
          <w:sz w:val="21"/>
        </w:rPr>
        <w:t>Le fluide chaud circule vers un échangeur thermique.</w:t>
      </w:r>
    </w:p>
    <w:p>
      <w:pPr>
        <w:pStyle w:val="ListBullet"/>
        <w:spacing w:after="80" w:line="276" w:lineRule="auto"/>
      </w:pPr>
      <w:r>
        <w:rPr>
          <w:rFonts w:ascii="Calibri" w:hAnsi="Calibri"/>
          <w:color w:val="14181F"/>
          <w:sz w:val="21"/>
        </w:rPr>
        <w:t>La chaleur est transférée vers une boucle secondaire.</w:t>
      </w:r>
    </w:p>
    <w:p>
      <w:pPr>
        <w:pStyle w:val="ListBullet"/>
        <w:spacing w:after="80" w:line="276" w:lineRule="auto"/>
      </w:pPr>
      <w:r>
        <w:rPr>
          <w:rFonts w:ascii="Calibri" w:hAnsi="Calibri"/>
          <w:color w:val="14181F"/>
          <w:sz w:val="21"/>
        </w:rPr>
        <w:t>Le fluide refroidi retourne dans la cuve.</w:t>
      </w:r>
    </w:p>
    <w:p>
      <w:r>
        <w:rPr>
          <w:rFonts w:ascii="Calibri" w:hAnsi="Calibri"/>
          <w:b w:val="0"/>
          <w:i w:val="0"/>
        </w:rPr>
        <w:t>Cette approche offre un excellent compromis entre performance, simplicite, securite et coût d’exploitation.</w:t>
      </w:r>
    </w:p>
    <w:p>
      <w:pPr>
        <w:pStyle w:val="Heading2"/>
      </w:pPr>
      <w:r>
        <w:rPr>
          <w:rFonts w:ascii="Calibri" w:hAnsi="Calibri"/>
          <w:b w:val="0"/>
          <w:i w:val="0"/>
        </w:rPr>
        <w:t>Immersion biphasique</w:t>
      </w:r>
    </w:p>
    <w:p>
      <w:r>
        <w:rPr>
          <w:rFonts w:ascii="Calibri" w:hAnsi="Calibri"/>
          <w:b w:val="0"/>
          <w:i w:val="0"/>
        </w:rPr>
        <w:t>Dans une architecture biphasique, le fluide change d’état : il s’évapore au contact des composants chauds, puis se condense sur une surface froide. Cette technologie peut offrir de fortes performances thermiques, mais elle reste souvent plus complexe a deployer, a maintenir et a industrialiser.</w:t>
      </w:r>
    </w:p>
    <w:p>
      <w:pPr>
        <w:pStyle w:val="Heading1"/>
      </w:pPr>
      <w:r>
        <w:rPr>
          <w:rFonts w:ascii="Calibri" w:hAnsi="Calibri"/>
          <w:b w:val="0"/>
          <w:i w:val="0"/>
        </w:rPr>
        <w:t>5. Architecture thermique avec VOLTANEUM™</w:t>
      </w:r>
    </w:p>
    <w:p>
      <w:pPr>
        <w:jc w:val="center"/>
      </w:pPr>
      <w:r>
        <w:drawing>
          <wp:inline xmlns:a="http://schemas.openxmlformats.org/drawingml/2006/main" xmlns:pic="http://schemas.openxmlformats.org/drawingml/2006/picture">
            <wp:extent cx="5760720" cy="3242128"/>
            <wp:docPr id="3" name="Picture 3"/>
            <wp:cNvGraphicFramePr>
              <a:graphicFrameLocks noChangeAspect="1"/>
            </wp:cNvGraphicFramePr>
            <a:graphic>
              <a:graphicData uri="http://schemas.openxmlformats.org/drawingml/2006/picture">
                <pic:pic>
                  <pic:nvPicPr>
                    <pic:cNvPr id="0" name="ig_04621d013b2fd433016a023d0c75bc8191a2e034b993ff0f93.png"/>
                    <pic:cNvPicPr/>
                  </pic:nvPicPr>
                  <pic:blipFill>
                    <a:blip r:embed="rId13"/>
                    <a:stretch>
                      <a:fillRect/>
                    </a:stretch>
                  </pic:blipFill>
                  <pic:spPr>
                    <a:xfrm>
                      <a:off x="0" y="0"/>
                      <a:ext cx="5760720" cy="3242128"/>
                    </a:xfrm>
                    <a:prstGeom prst="rect"/>
                  </pic:spPr>
                </pic:pic>
              </a:graphicData>
            </a:graphic>
          </wp:inline>
        </w:drawing>
      </w:r>
    </w:p>
    <w:p>
      <w:pPr>
        <w:spacing w:after="200"/>
        <w:jc w:val="center"/>
      </w:pPr>
      <w:r>
        <w:rPr>
          <w:rFonts w:ascii="Calibri" w:hAnsi="Calibri"/>
          <w:b w:val="0"/>
          <w:i/>
          <w:color w:val="4D5B6E"/>
          <w:sz w:val="18"/>
        </w:rPr>
        <w:t>Figure 2 - Exploitation et supervision d’une installation immersion cooling haute densité.</w:t>
      </w:r>
    </w:p>
    <w:p>
      <w:r>
        <w:rPr>
          <w:rFonts w:ascii="Calibri" w:hAnsi="Calibri"/>
          <w:b w:val="0"/>
          <w:i w:val="0"/>
        </w:rPr>
        <w:t>Une infrastructure d’immersion cooling utilisant VOLTANEUM™ s'integre generalement dans une architecture composee de cuves d’immersion, fluide diélectrique, échangeur thermique, CDU, boucle secondaire, dry cooler ou système de dissipation externe, filtration, capteurs de température et monitoring énergétique.</w:t>
      </w:r>
    </w:p>
    <w:p>
      <w:r>
        <w:rPr>
          <w:rFonts w:ascii="Calibri" w:hAnsi="Calibri"/>
          <w:b w:val="0"/>
          <w:i w:val="0"/>
        </w:rPr>
        <w:t>Le role de VOLTANEUM™ est central : il constitue l'interface directe entre les composants électroniques et l’architecture thermique du datacenter.</w:t>
      </w:r>
    </w:p>
    <w:p>
      <w:r>
        <w:rPr>
          <w:rFonts w:ascii="Calibri" w:hAnsi="Calibri"/>
          <w:b w:val="0"/>
          <w:i w:val="0"/>
        </w:rPr>
        <w:t>Une bonne performance du fluide permet de stabiliser les températures, d'améliorer la densité de calcul et de réduire la dépendance aux systèmes de climatisation traditionnels.</w:t>
      </w:r>
    </w:p>
    <w:p>
      <w:pPr>
        <w:pStyle w:val="Heading1"/>
      </w:pPr>
      <w:r>
        <w:rPr>
          <w:rFonts w:ascii="Calibri" w:hAnsi="Calibri"/>
          <w:b w:val="0"/>
          <w:i w:val="0"/>
        </w:rPr>
        <w:t>6. Caracteristiques techniques critiques d’un fluide diélectrique</w:t>
      </w:r>
    </w:p>
    <w:p>
      <w:r>
        <w:rPr>
          <w:rFonts w:ascii="Calibri" w:hAnsi="Calibri"/>
          <w:b w:val="0"/>
          <w:i w:val="0"/>
        </w:rPr>
        <w:t>Le fluide est l'element stratégique d’un système d’immersion. Il doit combiner performance thermique, securite électrique et stabilité chimique.</w:t>
      </w:r>
    </w:p>
    <w:tbl>
      <w:tblPr>
        <w:tblStyle w:val="TableGrid"/>
        <w:tblW w:type="dxa" w:w="9360"/>
        <w:jc w:val="center"/>
        <w:tblLayout w:type="fixed"/>
        <w:tblLook w:firstColumn="1" w:firstRow="1" w:lastColumn="0" w:lastRow="0" w:noHBand="0" w:noVBand="1" w:val="04A0"/>
      </w:tblPr>
      <w:tblGrid>
        <w:gridCol w:w="3500"/>
        <w:gridCol w:w="5860"/>
      </w:tblGrid>
      <w:tr>
        <w:tc>
          <w:tcPr>
            <w:tcW w:type="dxa" w:w="3500"/>
            <w:tcMar>
              <w:top w:w="100" w:type="dxa"/>
              <w:start w:w="140" w:type="dxa"/>
              <w:bottom w:w="100" w:type="dxa"/>
              <w:end w:w="140" w:type="dxa"/>
            </w:tcMar>
            <w:vAlign w:val="center"/>
            <w:shd w:fill="E8EEF5"/>
          </w:tcPr>
          <w:p>
            <w:pPr>
              <w:jc w:val="center"/>
            </w:pPr>
            <w:r>
              <w:rPr>
                <w:rFonts w:ascii="Calibri" w:hAnsi="Calibri"/>
                <w:b/>
                <w:color w:val="0B2545"/>
                <w:sz w:val="20"/>
              </w:rPr>
              <w:t>Paramêtre</w:t>
            </w:r>
          </w:p>
        </w:tc>
        <w:tc>
          <w:tcPr>
            <w:tcW w:type="dxa" w:w="5860"/>
            <w:tcMar>
              <w:top w:w="100" w:type="dxa"/>
              <w:start w:w="140" w:type="dxa"/>
              <w:bottom w:w="100" w:type="dxa"/>
              <w:end w:w="140" w:type="dxa"/>
            </w:tcMar>
            <w:vAlign w:val="center"/>
            <w:shd w:fill="E8EEF5"/>
          </w:tcPr>
          <w:p>
            <w:pPr>
              <w:jc w:val="center"/>
            </w:pPr>
            <w:r>
              <w:rPr>
                <w:rFonts w:ascii="Calibri" w:hAnsi="Calibri"/>
                <w:b/>
                <w:color w:val="0B2545"/>
                <w:sz w:val="20"/>
              </w:rPr>
              <w:t>Role</w:t>
            </w:r>
          </w:p>
        </w:tc>
      </w:tr>
      <w:tr>
        <w:tc>
          <w:tcPr>
            <w:tcW w:type="dxa" w:w="3500"/>
            <w:tcMar>
              <w:top w:w="100" w:type="dxa"/>
              <w:start w:w="140" w:type="dxa"/>
              <w:bottom w:w="100" w:type="dxa"/>
              <w:end w:w="140" w:type="dxa"/>
            </w:tcMar>
            <w:vAlign w:val="center"/>
          </w:tcPr>
          <w:p>
            <w:pPr>
              <w:jc w:val="left"/>
            </w:pPr>
            <w:r>
              <w:rPr>
                <w:rFonts w:ascii="Calibri" w:hAnsi="Calibri"/>
                <w:color w:val="14181F"/>
                <w:sz w:val="20"/>
              </w:rPr>
              <w:t>Rigidite diélectrique</w:t>
            </w:r>
          </w:p>
        </w:tc>
        <w:tc>
          <w:tcPr>
            <w:tcW w:type="dxa" w:w="5860"/>
            <w:tcMar>
              <w:top w:w="100" w:type="dxa"/>
              <w:start w:w="140" w:type="dxa"/>
              <w:bottom w:w="100" w:type="dxa"/>
              <w:end w:w="140" w:type="dxa"/>
            </w:tcMar>
            <w:vAlign w:val="center"/>
          </w:tcPr>
          <w:p>
            <w:pPr>
              <w:jc w:val="center"/>
            </w:pPr>
            <w:r>
              <w:rPr>
                <w:rFonts w:ascii="Calibri" w:hAnsi="Calibri"/>
                <w:color w:val="14181F"/>
                <w:sz w:val="20"/>
              </w:rPr>
              <w:t>Assure l'isolation électrique</w:t>
            </w:r>
          </w:p>
        </w:tc>
      </w:tr>
      <w:tr>
        <w:tc>
          <w:tcPr>
            <w:tcW w:type="dxa" w:w="3500"/>
            <w:tcMar>
              <w:top w:w="100" w:type="dxa"/>
              <w:start w:w="140" w:type="dxa"/>
              <w:bottom w:w="100" w:type="dxa"/>
              <w:end w:w="140" w:type="dxa"/>
            </w:tcMar>
            <w:vAlign w:val="center"/>
          </w:tcPr>
          <w:p>
            <w:pPr>
              <w:jc w:val="left"/>
            </w:pPr>
            <w:r>
              <w:rPr>
                <w:rFonts w:ascii="Calibri" w:hAnsi="Calibri"/>
                <w:color w:val="14181F"/>
                <w:sz w:val="20"/>
              </w:rPr>
              <w:t>Viscosite</w:t>
            </w:r>
          </w:p>
        </w:tc>
        <w:tc>
          <w:tcPr>
            <w:tcW w:type="dxa" w:w="5860"/>
            <w:tcMar>
              <w:top w:w="100" w:type="dxa"/>
              <w:start w:w="140" w:type="dxa"/>
              <w:bottom w:w="100" w:type="dxa"/>
              <w:end w:w="140" w:type="dxa"/>
            </w:tcMar>
            <w:vAlign w:val="center"/>
          </w:tcPr>
          <w:p>
            <w:pPr>
              <w:jc w:val="center"/>
            </w:pPr>
            <w:r>
              <w:rPr>
                <w:rFonts w:ascii="Calibri" w:hAnsi="Calibri"/>
                <w:color w:val="14181F"/>
                <w:sz w:val="20"/>
              </w:rPr>
              <w:t>Influence la circulation et le transfert thermique</w:t>
            </w:r>
          </w:p>
        </w:tc>
      </w:tr>
      <w:tr>
        <w:tc>
          <w:tcPr>
            <w:tcW w:type="dxa" w:w="3500"/>
            <w:tcMar>
              <w:top w:w="100" w:type="dxa"/>
              <w:start w:w="140" w:type="dxa"/>
              <w:bottom w:w="100" w:type="dxa"/>
              <w:end w:w="140" w:type="dxa"/>
            </w:tcMar>
            <w:vAlign w:val="center"/>
          </w:tcPr>
          <w:p>
            <w:pPr>
              <w:jc w:val="left"/>
            </w:pPr>
            <w:r>
              <w:rPr>
                <w:rFonts w:ascii="Calibri" w:hAnsi="Calibri"/>
                <w:color w:val="14181F"/>
                <w:sz w:val="20"/>
              </w:rPr>
              <w:t>Point d’éclair</w:t>
            </w:r>
          </w:p>
        </w:tc>
        <w:tc>
          <w:tcPr>
            <w:tcW w:type="dxa" w:w="5860"/>
            <w:tcMar>
              <w:top w:w="100" w:type="dxa"/>
              <w:start w:w="140" w:type="dxa"/>
              <w:bottom w:w="100" w:type="dxa"/>
              <w:end w:w="140" w:type="dxa"/>
            </w:tcMar>
            <w:vAlign w:val="center"/>
          </w:tcPr>
          <w:p>
            <w:pPr>
              <w:jc w:val="center"/>
            </w:pPr>
            <w:r>
              <w:rPr>
                <w:rFonts w:ascii="Calibri" w:hAnsi="Calibri"/>
                <w:color w:val="14181F"/>
                <w:sz w:val="20"/>
              </w:rPr>
              <w:t>Contribue à la securite en température élevée</w:t>
            </w:r>
          </w:p>
        </w:tc>
      </w:tr>
      <w:tr>
        <w:tc>
          <w:tcPr>
            <w:tcW w:type="dxa" w:w="3500"/>
            <w:tcMar>
              <w:top w:w="100" w:type="dxa"/>
              <w:start w:w="140" w:type="dxa"/>
              <w:bottom w:w="100" w:type="dxa"/>
              <w:end w:w="140" w:type="dxa"/>
            </w:tcMar>
            <w:vAlign w:val="center"/>
          </w:tcPr>
          <w:p>
            <w:pPr>
              <w:jc w:val="left"/>
            </w:pPr>
            <w:r>
              <w:rPr>
                <w:rFonts w:ascii="Calibri" w:hAnsi="Calibri"/>
                <w:color w:val="14181F"/>
                <w:sz w:val="20"/>
              </w:rPr>
              <w:t>Teneur en eau</w:t>
            </w:r>
          </w:p>
        </w:tc>
        <w:tc>
          <w:tcPr>
            <w:tcW w:type="dxa" w:w="5860"/>
            <w:tcMar>
              <w:top w:w="100" w:type="dxa"/>
              <w:start w:w="140" w:type="dxa"/>
              <w:bottom w:w="100" w:type="dxa"/>
              <w:end w:w="140" w:type="dxa"/>
            </w:tcMar>
            <w:vAlign w:val="center"/>
          </w:tcPr>
          <w:p>
            <w:pPr>
              <w:jc w:val="center"/>
            </w:pPr>
            <w:r>
              <w:rPr>
                <w:rFonts w:ascii="Calibri" w:hAnsi="Calibri"/>
                <w:color w:val="14181F"/>
                <w:sz w:val="20"/>
              </w:rPr>
              <w:t>Preserve les propriétés isolantes</w:t>
            </w:r>
          </w:p>
        </w:tc>
      </w:tr>
      <w:tr>
        <w:tc>
          <w:tcPr>
            <w:tcW w:type="dxa" w:w="3500"/>
            <w:tcMar>
              <w:top w:w="100" w:type="dxa"/>
              <w:start w:w="140" w:type="dxa"/>
              <w:bottom w:w="100" w:type="dxa"/>
              <w:end w:w="140" w:type="dxa"/>
            </w:tcMar>
            <w:vAlign w:val="center"/>
          </w:tcPr>
          <w:p>
            <w:pPr>
              <w:jc w:val="left"/>
            </w:pPr>
            <w:r>
              <w:rPr>
                <w:rFonts w:ascii="Calibri" w:hAnsi="Calibri"/>
                <w:color w:val="14181F"/>
                <w:sz w:val="20"/>
              </w:rPr>
              <w:t>Indice d’acidité</w:t>
            </w:r>
          </w:p>
        </w:tc>
        <w:tc>
          <w:tcPr>
            <w:tcW w:type="dxa" w:w="5860"/>
            <w:tcMar>
              <w:top w:w="100" w:type="dxa"/>
              <w:start w:w="140" w:type="dxa"/>
              <w:bottom w:w="100" w:type="dxa"/>
              <w:end w:w="140" w:type="dxa"/>
            </w:tcMar>
            <w:vAlign w:val="center"/>
          </w:tcPr>
          <w:p>
            <w:pPr>
              <w:jc w:val="center"/>
            </w:pPr>
            <w:r>
              <w:rPr>
                <w:rFonts w:ascii="Calibri" w:hAnsi="Calibri"/>
                <w:color w:val="14181F"/>
                <w:sz w:val="20"/>
              </w:rPr>
              <w:t>Reduit les risques de corrosion</w:t>
            </w:r>
          </w:p>
        </w:tc>
      </w:tr>
      <w:tr>
        <w:tc>
          <w:tcPr>
            <w:tcW w:type="dxa" w:w="3500"/>
            <w:tcMar>
              <w:top w:w="100" w:type="dxa"/>
              <w:start w:w="140" w:type="dxa"/>
              <w:bottom w:w="100" w:type="dxa"/>
              <w:end w:w="140" w:type="dxa"/>
            </w:tcMar>
            <w:vAlign w:val="center"/>
          </w:tcPr>
          <w:p>
            <w:pPr>
              <w:jc w:val="left"/>
            </w:pPr>
            <w:r>
              <w:rPr>
                <w:rFonts w:ascii="Calibri" w:hAnsi="Calibri"/>
                <w:color w:val="14181F"/>
                <w:sz w:val="20"/>
              </w:rPr>
              <w:t>Stabilite chimique</w:t>
            </w:r>
          </w:p>
        </w:tc>
        <w:tc>
          <w:tcPr>
            <w:tcW w:type="dxa" w:w="5860"/>
            <w:tcMar>
              <w:top w:w="100" w:type="dxa"/>
              <w:start w:w="140" w:type="dxa"/>
              <w:bottom w:w="100" w:type="dxa"/>
              <w:end w:w="140" w:type="dxa"/>
            </w:tcMar>
            <w:vAlign w:val="center"/>
          </w:tcPr>
          <w:p>
            <w:pPr>
              <w:jc w:val="center"/>
            </w:pPr>
            <w:r>
              <w:rPr>
                <w:rFonts w:ascii="Calibri" w:hAnsi="Calibri"/>
                <w:color w:val="14181F"/>
                <w:sz w:val="20"/>
              </w:rPr>
              <w:t>Maintient les performances dans le temps</w:t>
            </w:r>
          </w:p>
        </w:tc>
      </w:tr>
      <w:tr>
        <w:tc>
          <w:tcPr>
            <w:tcW w:type="dxa" w:w="3500"/>
            <w:tcMar>
              <w:top w:w="100" w:type="dxa"/>
              <w:start w:w="140" w:type="dxa"/>
              <w:bottom w:w="100" w:type="dxa"/>
              <w:end w:w="140" w:type="dxa"/>
            </w:tcMar>
            <w:vAlign w:val="center"/>
          </w:tcPr>
          <w:p>
            <w:pPr>
              <w:jc w:val="left"/>
            </w:pPr>
            <w:r>
              <w:rPr>
                <w:rFonts w:ascii="Calibri" w:hAnsi="Calibri"/>
                <w:color w:val="14181F"/>
                <w:sz w:val="20"/>
              </w:rPr>
              <w:t>Compatibilite matériaux</w:t>
            </w:r>
          </w:p>
        </w:tc>
        <w:tc>
          <w:tcPr>
            <w:tcW w:type="dxa" w:w="5860"/>
            <w:tcMar>
              <w:top w:w="100" w:type="dxa"/>
              <w:start w:w="140" w:type="dxa"/>
              <w:bottom w:w="100" w:type="dxa"/>
              <w:end w:w="140" w:type="dxa"/>
            </w:tcMar>
            <w:vAlign w:val="center"/>
          </w:tcPr>
          <w:p>
            <w:pPr>
              <w:jc w:val="center"/>
            </w:pPr>
            <w:r>
              <w:rPr>
                <w:rFonts w:ascii="Calibri" w:hAnsi="Calibri"/>
                <w:color w:val="14181F"/>
                <w:sz w:val="20"/>
              </w:rPr>
              <w:t>Protege joints, câbles, plastiques et metaux</w:t>
            </w:r>
          </w:p>
        </w:tc>
      </w:tr>
      <w:tr>
        <w:tc>
          <w:tcPr>
            <w:tcW w:type="dxa" w:w="3500"/>
            <w:tcMar>
              <w:top w:w="100" w:type="dxa"/>
              <w:start w:w="140" w:type="dxa"/>
              <w:bottom w:w="100" w:type="dxa"/>
              <w:end w:w="140" w:type="dxa"/>
            </w:tcMar>
            <w:vAlign w:val="center"/>
          </w:tcPr>
          <w:p>
            <w:pPr>
              <w:jc w:val="left"/>
            </w:pPr>
            <w:r>
              <w:rPr>
                <w:rFonts w:ascii="Calibri" w:hAnsi="Calibri"/>
                <w:color w:val="14181F"/>
                <w:sz w:val="20"/>
              </w:rPr>
              <w:t>Tension interfaciale</w:t>
            </w:r>
          </w:p>
        </w:tc>
        <w:tc>
          <w:tcPr>
            <w:tcW w:type="dxa" w:w="5860"/>
            <w:tcMar>
              <w:top w:w="100" w:type="dxa"/>
              <w:start w:w="140" w:type="dxa"/>
              <w:bottom w:w="100" w:type="dxa"/>
              <w:end w:w="140" w:type="dxa"/>
            </w:tcMar>
            <w:vAlign w:val="center"/>
          </w:tcPr>
          <w:p>
            <w:pPr>
              <w:jc w:val="center"/>
            </w:pPr>
            <w:r>
              <w:rPr>
                <w:rFonts w:ascii="Calibri" w:hAnsi="Calibri"/>
                <w:color w:val="14181F"/>
                <w:sz w:val="20"/>
              </w:rPr>
              <w:t>Indique la stabilité et la proprete du fluide</w:t>
            </w:r>
          </w:p>
        </w:tc>
      </w:tr>
    </w:tbl>
    <w:p/>
    <w:tbl>
      <w:tblPr>
        <w:tblW w:type="dxa" w:w="9360"/>
        <w:jc w:val="center"/>
        <w:tblLayout w:type="fixed"/>
        <w:tblLook w:firstColumn="1" w:firstRow="1" w:lastColumn="0" w:lastRow="0" w:noHBand="0" w:noVBand="1" w:val="04A0"/>
      </w:tblPr>
      <w:tblGrid>
        <w:gridCol w:w="9360"/>
      </w:tblGrid>
      <w:tr>
        <w:tc>
          <w:tcPr>
            <w:tcW w:type="dxa" w:w="9360"/>
            <w:tcMar>
              <w:top w:w="100" w:type="dxa"/>
              <w:start w:w="140" w:type="dxa"/>
              <w:bottom w:w="100" w:type="dxa"/>
              <w:end w:w="140" w:type="dxa"/>
            </w:tcMar>
            <w:vAlign w:val="center"/>
            <w:shd w:fill="EAF3F6"/>
          </w:tcPr>
          <w:p>
            <w:pPr>
              <w:spacing w:after="60"/>
            </w:pPr>
            <w:r>
              <w:rPr>
                <w:rFonts w:ascii="Calibri" w:hAnsi="Calibri"/>
                <w:b/>
                <w:color w:val="0B2545"/>
                <w:sz w:val="22"/>
              </w:rPr>
              <w:t>Point de vigilance</w:t>
            </w:r>
          </w:p>
          <w:p>
            <w:pPr>
              <w:spacing w:after="0"/>
            </w:pPr>
            <w:r>
              <w:rPr>
                <w:rFonts w:ascii="Calibri" w:hAnsi="Calibri"/>
                <w:color w:val="14181F"/>
                <w:sz w:val="21"/>
              </w:rPr>
              <w:t>Un fluide d’immersion ne doit pas être considéré comme un consommable standard. Il fait partie de l’infrastructure critique du datacenter.</w:t>
            </w:r>
          </w:p>
        </w:tc>
      </w:tr>
    </w:tbl>
    <w:p/>
    <w:p>
      <w:pPr>
        <w:pStyle w:val="Heading1"/>
      </w:pPr>
      <w:r>
        <w:rPr>
          <w:rFonts w:ascii="Calibri" w:hAnsi="Calibri"/>
          <w:b w:val="0"/>
          <w:i w:val="0"/>
        </w:rPr>
        <w:t>7. Resultats techniques du fluide teste</w:t>
      </w:r>
    </w:p>
    <w:p>
      <w:r>
        <w:rPr>
          <w:rFonts w:ascii="Calibri" w:hAnsi="Calibri"/>
          <w:b w:val="0"/>
          <w:i w:val="0"/>
        </w:rPr>
        <w:t>Un contrôle qualité réalisé sur un fluide destiné à l’immersion cooling présente les resultats suivants.</w:t>
      </w:r>
    </w:p>
    <w:tbl>
      <w:tblPr>
        <w:tblStyle w:val="TableGrid"/>
        <w:tblW w:type="dxa" w:w="9360"/>
        <w:jc w:val="center"/>
        <w:tblLayout w:type="fixed"/>
        <w:tblLook w:firstColumn="1" w:firstRow="1" w:lastColumn="0" w:lastRow="0" w:noHBand="0" w:noVBand="1" w:val="04A0"/>
      </w:tblPr>
      <w:tblGrid>
        <w:gridCol w:w="5200"/>
        <w:gridCol w:w="4160"/>
      </w:tblGrid>
      <w:tr>
        <w:tc>
          <w:tcPr>
            <w:tcW w:type="dxa" w:w="5200"/>
            <w:tcMar>
              <w:top w:w="100" w:type="dxa"/>
              <w:start w:w="140" w:type="dxa"/>
              <w:bottom w:w="100" w:type="dxa"/>
              <w:end w:w="140" w:type="dxa"/>
            </w:tcMar>
            <w:vAlign w:val="center"/>
            <w:shd w:fill="E8EEF5"/>
          </w:tcPr>
          <w:p>
            <w:pPr>
              <w:jc w:val="center"/>
            </w:pPr>
            <w:r>
              <w:rPr>
                <w:rFonts w:ascii="Calibri" w:hAnsi="Calibri"/>
                <w:b/>
                <w:color w:val="0B2545"/>
                <w:sz w:val="20"/>
              </w:rPr>
              <w:t>Paramêtre</w:t>
            </w:r>
          </w:p>
        </w:tc>
        <w:tc>
          <w:tcPr>
            <w:tcW w:type="dxa" w:w="4160"/>
            <w:tcMar>
              <w:top w:w="100" w:type="dxa"/>
              <w:start w:w="140" w:type="dxa"/>
              <w:bottom w:w="100" w:type="dxa"/>
              <w:end w:w="140" w:type="dxa"/>
            </w:tcMar>
            <w:vAlign w:val="center"/>
            <w:shd w:fill="E8EEF5"/>
          </w:tcPr>
          <w:p>
            <w:pPr>
              <w:jc w:val="center"/>
            </w:pPr>
            <w:r>
              <w:rPr>
                <w:rFonts w:ascii="Calibri" w:hAnsi="Calibri"/>
                <w:b/>
                <w:color w:val="0B2545"/>
                <w:sz w:val="20"/>
              </w:rPr>
              <w:t>Resultat</w:t>
            </w:r>
          </w:p>
        </w:tc>
      </w:tr>
      <w:tr>
        <w:tc>
          <w:tcPr>
            <w:tcW w:type="dxa" w:w="5200"/>
            <w:tcMar>
              <w:top w:w="100" w:type="dxa"/>
              <w:start w:w="140" w:type="dxa"/>
              <w:bottom w:w="100" w:type="dxa"/>
              <w:end w:w="140" w:type="dxa"/>
            </w:tcMar>
            <w:vAlign w:val="center"/>
          </w:tcPr>
          <w:p>
            <w:pPr>
              <w:jc w:val="left"/>
            </w:pPr>
            <w:r>
              <w:rPr>
                <w:rFonts w:ascii="Calibri" w:hAnsi="Calibri"/>
                <w:color w:val="14181F"/>
                <w:sz w:val="20"/>
              </w:rPr>
              <w:t>Tension de claquage</w:t>
            </w:r>
          </w:p>
        </w:tc>
        <w:tc>
          <w:tcPr>
            <w:tcW w:type="dxa" w:w="4160"/>
            <w:tcMar>
              <w:top w:w="100" w:type="dxa"/>
              <w:start w:w="140" w:type="dxa"/>
              <w:bottom w:w="100" w:type="dxa"/>
              <w:end w:w="140" w:type="dxa"/>
            </w:tcMar>
            <w:vAlign w:val="center"/>
          </w:tcPr>
          <w:p>
            <w:pPr>
              <w:jc w:val="center"/>
            </w:pPr>
            <w:r>
              <w:rPr>
                <w:rFonts w:ascii="Calibri" w:hAnsi="Calibri"/>
                <w:color w:val="14181F"/>
                <w:sz w:val="20"/>
              </w:rPr>
              <w:t>52 kV</w:t>
            </w:r>
          </w:p>
        </w:tc>
      </w:tr>
      <w:tr>
        <w:tc>
          <w:tcPr>
            <w:tcW w:type="dxa" w:w="5200"/>
            <w:tcMar>
              <w:top w:w="100" w:type="dxa"/>
              <w:start w:w="140" w:type="dxa"/>
              <w:bottom w:w="100" w:type="dxa"/>
              <w:end w:w="140" w:type="dxa"/>
            </w:tcMar>
            <w:vAlign w:val="center"/>
          </w:tcPr>
          <w:p>
            <w:pPr>
              <w:jc w:val="left"/>
            </w:pPr>
            <w:r>
              <w:rPr>
                <w:rFonts w:ascii="Calibri" w:hAnsi="Calibri"/>
                <w:color w:val="14181F"/>
                <w:sz w:val="20"/>
              </w:rPr>
              <w:t>Point d’éclair ouvert</w:t>
            </w:r>
          </w:p>
        </w:tc>
        <w:tc>
          <w:tcPr>
            <w:tcW w:type="dxa" w:w="4160"/>
            <w:tcMar>
              <w:top w:w="100" w:type="dxa"/>
              <w:start w:w="140" w:type="dxa"/>
              <w:bottom w:w="100" w:type="dxa"/>
              <w:end w:w="140" w:type="dxa"/>
            </w:tcMar>
            <w:vAlign w:val="center"/>
          </w:tcPr>
          <w:p>
            <w:pPr>
              <w:jc w:val="center"/>
            </w:pPr>
            <w:r>
              <w:rPr>
                <w:rFonts w:ascii="Calibri" w:hAnsi="Calibri"/>
                <w:color w:val="14181F"/>
                <w:sz w:val="20"/>
              </w:rPr>
              <w:t>196 °C</w:t>
            </w:r>
          </w:p>
        </w:tc>
      </w:tr>
      <w:tr>
        <w:tc>
          <w:tcPr>
            <w:tcW w:type="dxa" w:w="5200"/>
            <w:tcMar>
              <w:top w:w="100" w:type="dxa"/>
              <w:start w:w="140" w:type="dxa"/>
              <w:bottom w:w="100" w:type="dxa"/>
              <w:end w:w="140" w:type="dxa"/>
            </w:tcMar>
            <w:vAlign w:val="center"/>
          </w:tcPr>
          <w:p>
            <w:pPr>
              <w:jc w:val="left"/>
            </w:pPr>
            <w:r>
              <w:rPr>
                <w:rFonts w:ascii="Calibri" w:hAnsi="Calibri"/>
                <w:color w:val="14181F"/>
                <w:sz w:val="20"/>
              </w:rPr>
              <w:t>Point d’écoulement</w:t>
            </w:r>
          </w:p>
        </w:tc>
        <w:tc>
          <w:tcPr>
            <w:tcW w:type="dxa" w:w="4160"/>
            <w:tcMar>
              <w:top w:w="100" w:type="dxa"/>
              <w:start w:w="140" w:type="dxa"/>
              <w:bottom w:w="100" w:type="dxa"/>
              <w:end w:w="140" w:type="dxa"/>
            </w:tcMar>
            <w:vAlign w:val="center"/>
          </w:tcPr>
          <w:p>
            <w:pPr>
              <w:jc w:val="center"/>
            </w:pPr>
            <w:r>
              <w:rPr>
                <w:rFonts w:ascii="Calibri" w:hAnsi="Calibri"/>
                <w:color w:val="14181F"/>
                <w:sz w:val="20"/>
              </w:rPr>
              <w:t>-37 °C</w:t>
            </w:r>
          </w:p>
        </w:tc>
      </w:tr>
      <w:tr>
        <w:tc>
          <w:tcPr>
            <w:tcW w:type="dxa" w:w="5200"/>
            <w:tcMar>
              <w:top w:w="100" w:type="dxa"/>
              <w:start w:w="140" w:type="dxa"/>
              <w:bottom w:w="100" w:type="dxa"/>
              <w:end w:w="140" w:type="dxa"/>
            </w:tcMar>
            <w:vAlign w:val="center"/>
          </w:tcPr>
          <w:p>
            <w:pPr>
              <w:jc w:val="left"/>
            </w:pPr>
            <w:r>
              <w:rPr>
                <w:rFonts w:ascii="Calibri" w:hAnsi="Calibri"/>
                <w:color w:val="14181F"/>
                <w:sz w:val="20"/>
              </w:rPr>
              <w:t>Viscosite cinematique a 40 °C</w:t>
            </w:r>
          </w:p>
        </w:tc>
        <w:tc>
          <w:tcPr>
            <w:tcW w:type="dxa" w:w="4160"/>
            <w:tcMar>
              <w:top w:w="100" w:type="dxa"/>
              <w:start w:w="140" w:type="dxa"/>
              <w:bottom w:w="100" w:type="dxa"/>
              <w:end w:w="140" w:type="dxa"/>
            </w:tcMar>
            <w:vAlign w:val="center"/>
          </w:tcPr>
          <w:p>
            <w:pPr>
              <w:jc w:val="center"/>
            </w:pPr>
            <w:r>
              <w:rPr>
                <w:rFonts w:ascii="Calibri" w:hAnsi="Calibri"/>
                <w:color w:val="14181F"/>
                <w:sz w:val="20"/>
              </w:rPr>
              <w:t>10.20 mm²/s</w:t>
            </w:r>
          </w:p>
        </w:tc>
      </w:tr>
      <w:tr>
        <w:tc>
          <w:tcPr>
            <w:tcW w:type="dxa" w:w="5200"/>
            <w:tcMar>
              <w:top w:w="100" w:type="dxa"/>
              <w:start w:w="140" w:type="dxa"/>
              <w:bottom w:w="100" w:type="dxa"/>
              <w:end w:w="140" w:type="dxa"/>
            </w:tcMar>
            <w:vAlign w:val="center"/>
          </w:tcPr>
          <w:p>
            <w:pPr>
              <w:jc w:val="left"/>
            </w:pPr>
            <w:r>
              <w:rPr>
                <w:rFonts w:ascii="Calibri" w:hAnsi="Calibri"/>
                <w:color w:val="14181F"/>
                <w:sz w:val="20"/>
              </w:rPr>
              <w:t>Indice d’acidité</w:t>
            </w:r>
          </w:p>
        </w:tc>
        <w:tc>
          <w:tcPr>
            <w:tcW w:type="dxa" w:w="4160"/>
            <w:tcMar>
              <w:top w:w="100" w:type="dxa"/>
              <w:start w:w="140" w:type="dxa"/>
              <w:bottom w:w="100" w:type="dxa"/>
              <w:end w:w="140" w:type="dxa"/>
            </w:tcMar>
            <w:vAlign w:val="center"/>
          </w:tcPr>
          <w:p>
            <w:pPr>
              <w:jc w:val="center"/>
            </w:pPr>
            <w:r>
              <w:rPr>
                <w:rFonts w:ascii="Calibri" w:hAnsi="Calibri"/>
                <w:color w:val="14181F"/>
                <w:sz w:val="20"/>
              </w:rPr>
              <w:t>0.008 mgKOH/g</w:t>
            </w:r>
          </w:p>
        </w:tc>
      </w:tr>
      <w:tr>
        <w:tc>
          <w:tcPr>
            <w:tcW w:type="dxa" w:w="5200"/>
            <w:tcMar>
              <w:top w:w="100" w:type="dxa"/>
              <w:start w:w="140" w:type="dxa"/>
              <w:bottom w:w="100" w:type="dxa"/>
              <w:end w:w="140" w:type="dxa"/>
            </w:tcMar>
            <w:vAlign w:val="center"/>
          </w:tcPr>
          <w:p>
            <w:pPr>
              <w:jc w:val="left"/>
            </w:pPr>
            <w:r>
              <w:rPr>
                <w:rFonts w:ascii="Calibri" w:hAnsi="Calibri"/>
                <w:color w:val="14181F"/>
                <w:sz w:val="20"/>
              </w:rPr>
              <w:t>Facteur de pertes diélectriques</w:t>
            </w:r>
          </w:p>
        </w:tc>
        <w:tc>
          <w:tcPr>
            <w:tcW w:type="dxa" w:w="4160"/>
            <w:tcMar>
              <w:top w:w="100" w:type="dxa"/>
              <w:start w:w="140" w:type="dxa"/>
              <w:bottom w:w="100" w:type="dxa"/>
              <w:end w:w="140" w:type="dxa"/>
            </w:tcMar>
            <w:vAlign w:val="center"/>
          </w:tcPr>
          <w:p>
            <w:pPr>
              <w:jc w:val="center"/>
            </w:pPr>
            <w:r>
              <w:rPr>
                <w:rFonts w:ascii="Calibri" w:hAnsi="Calibri"/>
                <w:color w:val="14181F"/>
                <w:sz w:val="20"/>
              </w:rPr>
              <w:t>0.0006</w:t>
            </w:r>
          </w:p>
        </w:tc>
      </w:tr>
      <w:tr>
        <w:tc>
          <w:tcPr>
            <w:tcW w:type="dxa" w:w="5200"/>
            <w:tcMar>
              <w:top w:w="100" w:type="dxa"/>
              <w:start w:w="140" w:type="dxa"/>
              <w:bottom w:w="100" w:type="dxa"/>
              <w:end w:w="140" w:type="dxa"/>
            </w:tcMar>
            <w:vAlign w:val="center"/>
          </w:tcPr>
          <w:p>
            <w:pPr>
              <w:jc w:val="left"/>
            </w:pPr>
            <w:r>
              <w:rPr>
                <w:rFonts w:ascii="Calibri" w:hAnsi="Calibri"/>
                <w:color w:val="14181F"/>
                <w:sz w:val="20"/>
              </w:rPr>
              <w:t>Soufre corrosif</w:t>
            </w:r>
          </w:p>
        </w:tc>
        <w:tc>
          <w:tcPr>
            <w:tcW w:type="dxa" w:w="4160"/>
            <w:tcMar>
              <w:top w:w="100" w:type="dxa"/>
              <w:start w:w="140" w:type="dxa"/>
              <w:bottom w:w="100" w:type="dxa"/>
              <w:end w:w="140" w:type="dxa"/>
            </w:tcMar>
            <w:vAlign w:val="center"/>
          </w:tcPr>
          <w:p>
            <w:pPr>
              <w:jc w:val="center"/>
            </w:pPr>
            <w:r>
              <w:rPr>
                <w:rFonts w:ascii="Calibri" w:hAnsi="Calibri"/>
                <w:color w:val="14181F"/>
                <w:sz w:val="20"/>
              </w:rPr>
              <w:t>Non corrosif</w:t>
            </w:r>
          </w:p>
        </w:tc>
      </w:tr>
      <w:tr>
        <w:tc>
          <w:tcPr>
            <w:tcW w:type="dxa" w:w="5200"/>
            <w:tcMar>
              <w:top w:w="100" w:type="dxa"/>
              <w:start w:w="140" w:type="dxa"/>
              <w:bottom w:w="100" w:type="dxa"/>
              <w:end w:w="140" w:type="dxa"/>
            </w:tcMar>
            <w:vAlign w:val="center"/>
          </w:tcPr>
          <w:p>
            <w:pPr>
              <w:jc w:val="left"/>
            </w:pPr>
            <w:r>
              <w:rPr>
                <w:rFonts w:ascii="Calibri" w:hAnsi="Calibri"/>
                <w:color w:val="14181F"/>
                <w:sz w:val="20"/>
              </w:rPr>
              <w:t>Teneur totale en soufre</w:t>
            </w:r>
          </w:p>
        </w:tc>
        <w:tc>
          <w:tcPr>
            <w:tcW w:type="dxa" w:w="4160"/>
            <w:tcMar>
              <w:top w:w="100" w:type="dxa"/>
              <w:start w:w="140" w:type="dxa"/>
              <w:bottom w:w="100" w:type="dxa"/>
              <w:end w:w="140" w:type="dxa"/>
            </w:tcMar>
            <w:vAlign w:val="center"/>
          </w:tcPr>
          <w:p>
            <w:pPr>
              <w:jc w:val="center"/>
            </w:pPr>
            <w:r>
              <w:rPr>
                <w:rFonts w:ascii="Calibri" w:hAnsi="Calibri"/>
                <w:color w:val="14181F"/>
                <w:sz w:val="20"/>
              </w:rPr>
              <w:t>&lt; 0.0001 %</w:t>
            </w:r>
          </w:p>
        </w:tc>
      </w:tr>
      <w:tr>
        <w:tc>
          <w:tcPr>
            <w:tcW w:type="dxa" w:w="5200"/>
            <w:tcMar>
              <w:top w:w="100" w:type="dxa"/>
              <w:start w:w="140" w:type="dxa"/>
              <w:bottom w:w="100" w:type="dxa"/>
              <w:end w:w="140" w:type="dxa"/>
            </w:tcMar>
            <w:vAlign w:val="center"/>
          </w:tcPr>
          <w:p>
            <w:pPr>
              <w:jc w:val="left"/>
            </w:pPr>
            <w:r>
              <w:rPr>
                <w:rFonts w:ascii="Calibri" w:hAnsi="Calibri"/>
                <w:color w:val="14181F"/>
                <w:sz w:val="20"/>
              </w:rPr>
              <w:t>Teneur en 2-furfural</w:t>
            </w:r>
          </w:p>
        </w:tc>
        <w:tc>
          <w:tcPr>
            <w:tcW w:type="dxa" w:w="4160"/>
            <w:tcMar>
              <w:top w:w="100" w:type="dxa"/>
              <w:start w:w="140" w:type="dxa"/>
              <w:bottom w:w="100" w:type="dxa"/>
              <w:end w:w="140" w:type="dxa"/>
            </w:tcMar>
            <w:vAlign w:val="center"/>
          </w:tcPr>
          <w:p>
            <w:pPr>
              <w:jc w:val="center"/>
            </w:pPr>
            <w:r>
              <w:rPr>
                <w:rFonts w:ascii="Calibri" w:hAnsi="Calibri"/>
                <w:color w:val="14181F"/>
                <w:sz w:val="20"/>
              </w:rPr>
              <w:t>Non détecté</w:t>
            </w:r>
          </w:p>
        </w:tc>
      </w:tr>
    </w:tbl>
    <w:p/>
    <w:p>
      <w:r>
        <w:rPr>
          <w:rFonts w:ascii="Calibri" w:hAnsi="Calibri"/>
          <w:b w:val="0"/>
          <w:i w:val="0"/>
        </w:rPr>
        <w:t>Ces indicateurs démontrent une forte capacité d’isolation électrique, une bonne stabilité thermique, une faible acidité, un faible risque corrosif et une aptitude à une utilisation dans des systèmes d’immersion exigeants.</w:t>
      </w:r>
    </w:p>
    <w:p>
      <w:pPr>
        <w:pStyle w:val="Heading1"/>
      </w:pPr>
      <w:r>
        <w:rPr>
          <w:rFonts w:ascii="Calibri" w:hAnsi="Calibri"/>
          <w:b w:val="0"/>
          <w:i w:val="0"/>
        </w:rPr>
        <w:t>8. Benefices opérationnels</w:t>
      </w:r>
    </w:p>
    <w:p>
      <w:r>
        <w:rPr>
          <w:rFonts w:ascii="Calibri" w:hAnsi="Calibri"/>
          <w:b w:val="0"/>
          <w:i w:val="0"/>
        </w:rPr>
        <w:t>L'adoption de l’immersion cooling avec un fluide comme VOLTANEUM™ permet d'agir sur plusieurs leviers cles du datacenter.</w:t>
      </w:r>
    </w:p>
    <w:p>
      <w:pPr>
        <w:pStyle w:val="Heading2"/>
      </w:pPr>
      <w:r>
        <w:rPr>
          <w:rFonts w:ascii="Calibri" w:hAnsi="Calibri"/>
          <w:b w:val="0"/>
          <w:i w:val="0"/>
        </w:rPr>
        <w:t>Reduction énergétique</w:t>
      </w:r>
    </w:p>
    <w:p>
      <w:r>
        <w:rPr>
          <w:rFonts w:ascii="Calibri" w:hAnsi="Calibri"/>
          <w:b w:val="0"/>
          <w:i w:val="0"/>
        </w:rPr>
        <w:t>Reduction des besoins liés à la climatisation, à la ventilation, à la gestion des flux d’air, aux pertes thermiques indirectes et aux équipements mécaniques secondaires.</w:t>
      </w:r>
    </w:p>
    <w:p>
      <w:pPr>
        <w:pStyle w:val="Heading2"/>
      </w:pPr>
      <w:r>
        <w:rPr>
          <w:rFonts w:ascii="Calibri" w:hAnsi="Calibri"/>
          <w:b w:val="0"/>
          <w:i w:val="0"/>
        </w:rPr>
        <w:t>Densite accrue</w:t>
      </w:r>
    </w:p>
    <w:p>
      <w:r>
        <w:rPr>
          <w:rFonts w:ascii="Calibri" w:hAnsi="Calibri"/>
          <w:b w:val="0"/>
          <w:i w:val="0"/>
        </w:rPr>
        <w:t>Refroidissement direct des composants pour envisager des racks haute puissance, clusters GPU, infrastructures IA, systèmes HPC et fermes ASIC intensives.</w:t>
      </w:r>
    </w:p>
    <w:p>
      <w:pPr>
        <w:pStyle w:val="Heading2"/>
      </w:pPr>
      <w:r>
        <w:rPr>
          <w:rFonts w:ascii="Calibri" w:hAnsi="Calibri"/>
          <w:b w:val="0"/>
          <w:i w:val="0"/>
        </w:rPr>
        <w:t>Reduction du bruit</w:t>
      </w:r>
    </w:p>
    <w:p>
      <w:r>
        <w:rPr>
          <w:rFonts w:ascii="Calibri" w:hAnsi="Calibri"/>
          <w:b w:val="0"/>
          <w:i w:val="0"/>
        </w:rPr>
        <w:t>Diminution ou supprèssion des ventilateurs, réduction des vibrations, de l’usure mécanique et des contraintes de maintenance.</w:t>
      </w:r>
    </w:p>
    <w:p>
      <w:pPr>
        <w:pStyle w:val="Heading2"/>
      </w:pPr>
      <w:r>
        <w:rPr>
          <w:rFonts w:ascii="Calibri" w:hAnsi="Calibri"/>
          <w:b w:val="0"/>
          <w:i w:val="0"/>
        </w:rPr>
        <w:t>Protection des équipements</w:t>
      </w:r>
    </w:p>
    <w:p>
      <w:r>
        <w:rPr>
          <w:rFonts w:ascii="Calibri" w:hAnsi="Calibri"/>
          <w:b w:val="0"/>
          <w:i w:val="0"/>
        </w:rPr>
        <w:t>Protection contre la poussière, certaines particules atmospheriques, l'humidité ambiante, les variations thermiques brutales et l’encrassement lié aux flux d’air.</w:t>
      </w:r>
    </w:p>
    <w:p>
      <w:pPr>
        <w:pStyle w:val="Heading1"/>
      </w:pPr>
      <w:r>
        <w:rPr>
          <w:rFonts w:ascii="Calibri" w:hAnsi="Calibri"/>
          <w:b w:val="0"/>
          <w:i w:val="0"/>
        </w:rPr>
        <w:t>9. VOLTANEUM™ et les infrastructures IA nouvelle génération</w:t>
      </w:r>
    </w:p>
    <w:p>
      <w:r>
        <w:rPr>
          <w:rFonts w:ascii="Calibri" w:hAnsi="Calibri"/>
          <w:b w:val="0"/>
          <w:i w:val="0"/>
        </w:rPr>
        <w:t>L'essor des modèles generatifs transforme radicalement les contraintes thermiques des datacenters. Les clusters IA modernes, bases sur des GPU haute performance comme NVIDIA H100, H200 ou Blackwell, generent des densités thermiques extremes.</w:t>
      </w:r>
    </w:p>
    <w:p>
      <w:r>
        <w:rPr>
          <w:rFonts w:ascii="Calibri" w:hAnsi="Calibri"/>
          <w:b w:val="0"/>
          <w:i w:val="0"/>
        </w:rPr>
        <w:t>Ces charges sont continues, intenses et concentrees. Elles imposent une nouvelle approche du refroidissement.</w:t>
      </w:r>
    </w:p>
    <w:p>
      <w:pPr>
        <w:pStyle w:val="ListBullet"/>
        <w:spacing w:after="80" w:line="276" w:lineRule="auto"/>
      </w:pPr>
      <w:r>
        <w:rPr>
          <w:rFonts w:ascii="Calibri" w:hAnsi="Calibri"/>
          <w:color w:val="14181F"/>
          <w:sz w:val="21"/>
        </w:rPr>
        <w:t>augmenter la densité GPU</w:t>
      </w:r>
    </w:p>
    <w:p>
      <w:pPr>
        <w:pStyle w:val="ListBullet"/>
        <w:spacing w:after="80" w:line="276" w:lineRule="auto"/>
      </w:pPr>
      <w:r>
        <w:rPr>
          <w:rFonts w:ascii="Calibri" w:hAnsi="Calibri"/>
          <w:color w:val="14181F"/>
          <w:sz w:val="21"/>
        </w:rPr>
        <w:t>réduire les contraintes airflow</w:t>
      </w:r>
    </w:p>
    <w:p>
      <w:pPr>
        <w:pStyle w:val="ListBullet"/>
        <w:spacing w:after="80" w:line="276" w:lineRule="auto"/>
      </w:pPr>
      <w:r>
        <w:rPr>
          <w:rFonts w:ascii="Calibri" w:hAnsi="Calibri"/>
          <w:color w:val="14181F"/>
          <w:sz w:val="21"/>
        </w:rPr>
        <w:t>limiter le throttling thermique</w:t>
      </w:r>
    </w:p>
    <w:p>
      <w:pPr>
        <w:pStyle w:val="ListBullet"/>
        <w:spacing w:after="80" w:line="276" w:lineRule="auto"/>
      </w:pPr>
      <w:r>
        <w:rPr>
          <w:rFonts w:ascii="Calibri" w:hAnsi="Calibri"/>
          <w:color w:val="14181F"/>
          <w:sz w:val="21"/>
        </w:rPr>
        <w:t>améliorer l'efficacité énergétique</w:t>
      </w:r>
    </w:p>
    <w:p>
      <w:pPr>
        <w:pStyle w:val="ListBullet"/>
        <w:spacing w:after="80" w:line="276" w:lineRule="auto"/>
      </w:pPr>
      <w:r>
        <w:rPr>
          <w:rFonts w:ascii="Calibri" w:hAnsi="Calibri"/>
          <w:color w:val="14181F"/>
          <w:sz w:val="21"/>
        </w:rPr>
        <w:t>réduire le bruit opérationnel</w:t>
      </w:r>
    </w:p>
    <w:p>
      <w:pPr>
        <w:pStyle w:val="ListBullet"/>
        <w:spacing w:after="80" w:line="276" w:lineRule="auto"/>
      </w:pPr>
      <w:r>
        <w:rPr>
          <w:rFonts w:ascii="Calibri" w:hAnsi="Calibri"/>
          <w:color w:val="14181F"/>
          <w:sz w:val="21"/>
        </w:rPr>
        <w:t>stabiliser les clusters IA</w:t>
      </w:r>
    </w:p>
    <w:p>
      <w:pPr>
        <w:pStyle w:val="ListBullet"/>
        <w:spacing w:after="80" w:line="276" w:lineRule="auto"/>
      </w:pPr>
      <w:r>
        <w:rPr>
          <w:rFonts w:ascii="Calibri" w:hAnsi="Calibri"/>
          <w:color w:val="14181F"/>
          <w:sz w:val="21"/>
        </w:rPr>
        <w:t>preparer les infrastructures hyperscale de prochaine génération</w:t>
      </w:r>
    </w:p>
    <w:p>
      <w:r>
        <w:rPr>
          <w:rFonts w:ascii="Calibri" w:hAnsi="Calibri"/>
          <w:b w:val="0"/>
          <w:i w:val="0"/>
        </w:rPr>
        <w:t>Dans ce contexte, VOLTANEUM™ permet de depasser là logique historique du refroidissement par air pour entrer dans une architecture thermique directement adaptée aux charges IA modernes.</w:t>
      </w:r>
    </w:p>
    <w:p>
      <w:pPr>
        <w:pStyle w:val="Heading1"/>
      </w:pPr>
      <w:r>
        <w:rPr>
          <w:rFonts w:ascii="Calibri" w:hAnsi="Calibri"/>
          <w:b w:val="0"/>
          <w:i w:val="0"/>
        </w:rPr>
        <w:t>10. Optimisation énergétique et PUE</w:t>
      </w:r>
    </w:p>
    <w:p>
      <w:r>
        <w:rPr>
          <w:rFonts w:ascii="Calibri" w:hAnsi="Calibri"/>
          <w:b w:val="0"/>
          <w:i w:val="0"/>
        </w:rPr>
        <w:t>Le refroidissement représente une part importante de la consommation énergétique d’un datacenter. Plus la densité informatique augmente, plus la gestion thermique devient déterminante dans le coût total d’exploitation.</w:t>
      </w:r>
    </w:p>
    <w:p>
      <w:r>
        <w:rPr>
          <w:rFonts w:ascii="Calibri" w:hAnsi="Calibri"/>
          <w:b w:val="0"/>
          <w:i w:val="0"/>
        </w:rPr>
        <w:t>L’immersion cooling permet de réduire fortement les besoins CRAC, les flux d’air haute puissance, les ventilateurs serveurs, les pertes thermiques indirectes et la complexité des allées chaudes/froides.</w:t>
      </w:r>
    </w:p>
    <w:tbl>
      <w:tblPr>
        <w:tblW w:type="dxa" w:w="9360"/>
        <w:jc w:val="center"/>
        <w:tblLayout w:type="fixed"/>
        <w:tblLook w:firstColumn="1" w:firstRow="1" w:lastColumn="0" w:lastRow="0" w:noHBand="0" w:noVBand="1" w:val="04A0"/>
      </w:tblPr>
      <w:tblGrid>
        <w:gridCol w:w="9360"/>
      </w:tblGrid>
      <w:tr>
        <w:tc>
          <w:tcPr>
            <w:tcW w:type="dxa" w:w="9360"/>
            <w:tcMar>
              <w:top w:w="100" w:type="dxa"/>
              <w:start w:w="140" w:type="dxa"/>
              <w:bottom w:w="100" w:type="dxa"/>
              <w:end w:w="140" w:type="dxa"/>
            </w:tcMar>
            <w:vAlign w:val="center"/>
            <w:shd w:fill="EAF3F6"/>
          </w:tcPr>
          <w:p>
            <w:pPr>
              <w:spacing w:after="60"/>
            </w:pPr>
            <w:r>
              <w:rPr>
                <w:rFonts w:ascii="Calibri" w:hAnsi="Calibri"/>
                <w:b/>
                <w:color w:val="0B2545"/>
                <w:sz w:val="22"/>
              </w:rPr>
              <w:t>PUE cible</w:t>
            </w:r>
          </w:p>
          <w:p>
            <w:pPr>
              <w:spacing w:after="0"/>
            </w:pPr>
            <w:r>
              <w:rPr>
                <w:rFonts w:ascii="Calibri" w:hAnsi="Calibri"/>
                <w:color w:val="14181F"/>
                <w:sz w:val="21"/>
              </w:rPr>
              <w:t>Les infrastructures immersion peuvent viser des PUE proches de 1.03 a 1.15, contre 1.4 a 1.8 pour certaines architectures traditionnelles à air. Les valeurs exactes dépendent de l'intégration, du climat, de la charge IT et de l’architecture thermique.</w:t>
            </w:r>
          </w:p>
        </w:tc>
      </w:tr>
    </w:tbl>
    <w:p/>
    <w:p>
      <w:pPr>
        <w:pStyle w:val="Heading1"/>
      </w:pPr>
      <w:r>
        <w:rPr>
          <w:rFonts w:ascii="Calibri" w:hAnsi="Calibri"/>
          <w:b w:val="0"/>
          <w:i w:val="0"/>
        </w:rPr>
        <w:t>11. Valorisation thermique</w:t>
      </w:r>
    </w:p>
    <w:p>
      <w:pPr>
        <w:jc w:val="center"/>
      </w:pPr>
      <w:r>
        <w:drawing>
          <wp:inline xmlns:a="http://schemas.openxmlformats.org/drawingml/2006/main" xmlns:pic="http://schemas.openxmlformats.org/drawingml/2006/picture">
            <wp:extent cx="5760720" cy="3242128"/>
            <wp:docPr id="4" name="Picture 4"/>
            <wp:cNvGraphicFramePr>
              <a:graphicFrameLocks noChangeAspect="1"/>
            </wp:cNvGraphicFramePr>
            <a:graphic>
              <a:graphicData uri="http://schemas.openxmlformats.org/drawingml/2006/picture">
                <pic:pic>
                  <pic:nvPicPr>
                    <pic:cNvPr id="0" name="ig_04621d013b2fd433016a023d44f2808191bded696c1aee107a.png"/>
                    <pic:cNvPicPr/>
                  </pic:nvPicPr>
                  <pic:blipFill>
                    <a:blip r:embed="rId14"/>
                    <a:stretch>
                      <a:fillRect/>
                    </a:stretch>
                  </pic:blipFill>
                  <pic:spPr>
                    <a:xfrm>
                      <a:off x="0" y="0"/>
                      <a:ext cx="5760720" cy="3242128"/>
                    </a:xfrm>
                    <a:prstGeom prst="rect"/>
                  </pic:spPr>
                </pic:pic>
              </a:graphicData>
            </a:graphic>
          </wp:inline>
        </w:drawing>
      </w:r>
    </w:p>
    <w:p>
      <w:pPr>
        <w:spacing w:after="200"/>
        <w:jc w:val="center"/>
      </w:pPr>
      <w:r>
        <w:rPr>
          <w:rFonts w:ascii="Calibri" w:hAnsi="Calibri"/>
          <w:b w:val="0"/>
          <w:i/>
          <w:color w:val="4D5B6E"/>
          <w:sz w:val="18"/>
        </w:rPr>
        <w:t>Figure 3 - Valorisation thermique et boucle secondaire dans une architecture immersion cooling.</w:t>
      </w:r>
    </w:p>
    <w:p>
      <w:r>
        <w:rPr>
          <w:rFonts w:ascii="Calibri" w:hAnsi="Calibri"/>
          <w:b w:val="0"/>
          <w:i w:val="0"/>
        </w:rPr>
        <w:t>L'un des avantages majeurs de l’immersion cooling est la possibilité de récupérer la chaleur produite par les équipements informatiques.</w:t>
      </w:r>
    </w:p>
    <w:p>
      <w:r>
        <w:rPr>
          <w:rFonts w:ascii="Calibri" w:hAnsi="Calibri"/>
          <w:b w:val="0"/>
          <w:i w:val="0"/>
        </w:rPr>
        <w:t>La chaleur extraite vià une architecture utilisant VOLTANEUM™ peut être valorisée pour le chauffage urbain, les bureaux, les logements, les serres agricoles, les process industriels, l’eau chaude technique et les réseaux énergétiques locaux.</w:t>
      </w:r>
    </w:p>
    <w:p>
      <w:r>
        <w:rPr>
          <w:rFonts w:ascii="Calibri" w:hAnsi="Calibri"/>
          <w:b w:val="0"/>
          <w:i w:val="0"/>
        </w:rPr>
        <w:t>Cette approche transforme le datacenter en infrastructure énergétique intégrée. La chaleur n’est plus seulement une contrainte à évacuer : elle devient une ressource exploitable.</w:t>
      </w:r>
    </w:p>
    <w:p>
      <w:pPr>
        <w:pStyle w:val="Heading1"/>
      </w:pPr>
      <w:r>
        <w:rPr>
          <w:rFonts w:ascii="Calibri" w:hAnsi="Calibri"/>
          <w:b w:val="0"/>
          <w:i w:val="0"/>
        </w:rPr>
        <w:t>12. Fiabilite industrielle</w:t>
      </w:r>
    </w:p>
    <w:p>
      <w:r>
        <w:rPr>
          <w:rFonts w:ascii="Calibri" w:hAnsi="Calibri"/>
          <w:b w:val="0"/>
          <w:i w:val="0"/>
        </w:rPr>
        <w:t>Un fluide diélectrique d’immersion ne doit pas seulement refroidir. Il doit rester stable, sûr et prévisible sur la durée.</w:t>
      </w:r>
    </w:p>
    <w:p>
      <w:pPr>
        <w:pStyle w:val="ListBullet"/>
        <w:spacing w:after="80" w:line="276" w:lineRule="auto"/>
      </w:pPr>
      <w:r>
        <w:rPr>
          <w:rFonts w:ascii="Calibri" w:hAnsi="Calibri"/>
          <w:color w:val="14181F"/>
          <w:sz w:val="21"/>
        </w:rPr>
        <w:t>stabilité diélectrique</w:t>
      </w:r>
    </w:p>
    <w:p>
      <w:pPr>
        <w:pStyle w:val="ListBullet"/>
        <w:spacing w:after="80" w:line="276" w:lineRule="auto"/>
      </w:pPr>
      <w:r>
        <w:rPr>
          <w:rFonts w:ascii="Calibri" w:hAnsi="Calibri"/>
          <w:color w:val="14181F"/>
          <w:sz w:val="21"/>
        </w:rPr>
        <w:t>faible acidité</w:t>
      </w:r>
    </w:p>
    <w:p>
      <w:pPr>
        <w:pStyle w:val="ListBullet"/>
        <w:spacing w:after="80" w:line="276" w:lineRule="auto"/>
      </w:pPr>
      <w:r>
        <w:rPr>
          <w:rFonts w:ascii="Calibri" w:hAnsi="Calibri"/>
          <w:color w:val="14181F"/>
          <w:sz w:val="21"/>
        </w:rPr>
        <w:t>comportement non corrosif</w:t>
      </w:r>
    </w:p>
    <w:p>
      <w:pPr>
        <w:pStyle w:val="ListBullet"/>
        <w:spacing w:after="80" w:line="276" w:lineRule="auto"/>
      </w:pPr>
      <w:r>
        <w:rPr>
          <w:rFonts w:ascii="Calibri" w:hAnsi="Calibri"/>
          <w:color w:val="14181F"/>
          <w:sz w:val="21"/>
        </w:rPr>
        <w:t>compatibilité matériaux</w:t>
      </w:r>
    </w:p>
    <w:p>
      <w:pPr>
        <w:pStyle w:val="ListBullet"/>
        <w:spacing w:after="80" w:line="276" w:lineRule="auto"/>
      </w:pPr>
      <w:r>
        <w:rPr>
          <w:rFonts w:ascii="Calibri" w:hAnsi="Calibri"/>
          <w:color w:val="14181F"/>
          <w:sz w:val="21"/>
        </w:rPr>
        <w:t>maintenance prévisible</w:t>
      </w:r>
    </w:p>
    <w:p>
      <w:pPr>
        <w:pStyle w:val="ListBullet"/>
        <w:spacing w:after="80" w:line="276" w:lineRule="auto"/>
      </w:pPr>
      <w:r>
        <w:rPr>
          <w:rFonts w:ascii="Calibri" w:hAnsi="Calibri"/>
          <w:color w:val="14181F"/>
          <w:sz w:val="21"/>
        </w:rPr>
        <w:t>filtration continue</w:t>
      </w:r>
    </w:p>
    <w:p>
      <w:pPr>
        <w:pStyle w:val="ListBullet"/>
        <w:spacing w:after="80" w:line="276" w:lineRule="auto"/>
      </w:pPr>
      <w:r>
        <w:rPr>
          <w:rFonts w:ascii="Calibri" w:hAnsi="Calibri"/>
          <w:color w:val="14181F"/>
          <w:sz w:val="21"/>
        </w:rPr>
        <w:t>monitoring thermique</w:t>
      </w:r>
    </w:p>
    <w:p>
      <w:pPr>
        <w:pStyle w:val="ListBullet"/>
        <w:spacing w:after="80" w:line="276" w:lineRule="auto"/>
      </w:pPr>
      <w:r>
        <w:rPr>
          <w:rFonts w:ascii="Calibri" w:hAnsi="Calibri"/>
          <w:color w:val="14181F"/>
          <w:sz w:val="21"/>
        </w:rPr>
        <w:t>stabilité chimique long terme</w:t>
      </w:r>
    </w:p>
    <w:p>
      <w:r>
        <w:rPr>
          <w:rFonts w:ascii="Calibri" w:hAnsi="Calibri"/>
          <w:b w:val="0"/>
          <w:i w:val="0"/>
        </w:rPr>
        <w:t>La performance d’un système d’immersion dépend de l’ensemble de l’architecture : fluide, cuve, CDU, échangeur, capteurs, filtration, maintenance et protocole d’exploitation.</w:t>
      </w:r>
    </w:p>
    <w:p>
      <w:pPr>
        <w:pStyle w:val="Heading1"/>
      </w:pPr>
      <w:r>
        <w:rPr>
          <w:rFonts w:ascii="Calibri" w:hAnsi="Calibri"/>
          <w:b w:val="0"/>
          <w:i w:val="0"/>
        </w:rPr>
        <w:t>13. Proposition de valeur VOLTANEUM™</w:t>
      </w:r>
    </w:p>
    <w:p>
      <w:pPr>
        <w:pStyle w:val="Heading2"/>
      </w:pPr>
      <w:r>
        <w:rPr>
          <w:rFonts w:ascii="Calibri" w:hAnsi="Calibri"/>
          <w:b w:val="0"/>
          <w:i w:val="0"/>
        </w:rPr>
        <w:t>Performance thermique</w:t>
      </w:r>
    </w:p>
    <w:p>
      <w:r>
        <w:rPr>
          <w:rFonts w:ascii="Calibri" w:hAnsi="Calibri"/>
          <w:b w:val="0"/>
          <w:i w:val="0"/>
        </w:rPr>
        <w:t>Absorber directement la chaleur produite par les composants critiques et stabiliser les températures dans les environnements de calcul intensif.</w:t>
      </w:r>
    </w:p>
    <w:p>
      <w:pPr>
        <w:pStyle w:val="Heading2"/>
      </w:pPr>
      <w:r>
        <w:rPr>
          <w:rFonts w:ascii="Calibri" w:hAnsi="Calibri"/>
          <w:b w:val="0"/>
          <w:i w:val="0"/>
        </w:rPr>
        <w:t>Securite électrique</w:t>
      </w:r>
    </w:p>
    <w:p>
      <w:r>
        <w:rPr>
          <w:rFonts w:ascii="Calibri" w:hAnsi="Calibri"/>
          <w:b w:val="0"/>
          <w:i w:val="0"/>
        </w:rPr>
        <w:t>Assurer l'isolation des composants immergés grâce à ses propriétés diélectriques.</w:t>
      </w:r>
    </w:p>
    <w:p>
      <w:pPr>
        <w:pStyle w:val="Heading2"/>
      </w:pPr>
      <w:r>
        <w:rPr>
          <w:rFonts w:ascii="Calibri" w:hAnsi="Calibri"/>
          <w:b w:val="0"/>
          <w:i w:val="0"/>
        </w:rPr>
        <w:t>Durabilite opérationnelle</w:t>
      </w:r>
    </w:p>
    <w:p>
      <w:r>
        <w:rPr>
          <w:rFonts w:ascii="Calibri" w:hAnsi="Calibri"/>
          <w:b w:val="0"/>
          <w:i w:val="0"/>
        </w:rPr>
        <w:t>Contribuer à la fiabilité long terme grâce à une faible acidité, une stabilité chimique et un comportement non corrosif.</w:t>
      </w:r>
    </w:p>
    <w:p>
      <w:pPr>
        <w:pStyle w:val="Heading2"/>
      </w:pPr>
      <w:r>
        <w:rPr>
          <w:rFonts w:ascii="Calibri" w:hAnsi="Calibri"/>
          <w:b w:val="0"/>
          <w:i w:val="0"/>
        </w:rPr>
        <w:t>Transformation énergétique</w:t>
      </w:r>
    </w:p>
    <w:p>
      <w:r>
        <w:rPr>
          <w:rFonts w:ascii="Calibri" w:hAnsi="Calibri"/>
          <w:b w:val="0"/>
          <w:i w:val="0"/>
        </w:rPr>
        <w:t>Réduire la dépendance aux systèmes de ventilation et de climatisation afin d'améliorer l'efficacité énergétique globale du datacenter.</w:t>
      </w:r>
    </w:p>
    <w:p>
      <w:pPr>
        <w:pStyle w:val="Heading1"/>
      </w:pPr>
      <w:r>
        <w:rPr>
          <w:rFonts w:ascii="Calibri" w:hAnsi="Calibri"/>
          <w:b w:val="0"/>
          <w:i w:val="0"/>
        </w:rPr>
        <w:t>14. Cas d'usage principaux</w:t>
      </w:r>
    </w:p>
    <w:tbl>
      <w:tblPr>
        <w:tblStyle w:val="TableGrid"/>
        <w:tblW w:type="dxa" w:w="9360"/>
        <w:jc w:val="center"/>
        <w:tblLayout w:type="fixed"/>
        <w:tblLook w:firstColumn="1" w:firstRow="1" w:lastColumn="0" w:lastRow="0" w:noHBand="0" w:noVBand="1" w:val="04A0"/>
      </w:tblPr>
      <w:tblGrid>
        <w:gridCol w:w="3000"/>
        <w:gridCol w:w="6360"/>
      </w:tblGrid>
      <w:tr>
        <w:tc>
          <w:tcPr>
            <w:tcW w:type="dxa" w:w="3000"/>
            <w:tcMar>
              <w:top w:w="100" w:type="dxa"/>
              <w:start w:w="140" w:type="dxa"/>
              <w:bottom w:w="100" w:type="dxa"/>
              <w:end w:w="140" w:type="dxa"/>
            </w:tcMar>
            <w:vAlign w:val="center"/>
            <w:shd w:fill="E8EEF5"/>
          </w:tcPr>
          <w:p>
            <w:pPr>
              <w:jc w:val="center"/>
            </w:pPr>
            <w:r>
              <w:rPr>
                <w:rFonts w:ascii="Calibri" w:hAnsi="Calibri"/>
                <w:b/>
                <w:color w:val="0B2545"/>
                <w:sz w:val="20"/>
              </w:rPr>
              <w:t>Cas d'usage</w:t>
            </w:r>
          </w:p>
        </w:tc>
        <w:tc>
          <w:tcPr>
            <w:tcW w:type="dxa" w:w="6360"/>
            <w:tcMar>
              <w:top w:w="100" w:type="dxa"/>
              <w:start w:w="140" w:type="dxa"/>
              <w:bottom w:w="100" w:type="dxa"/>
              <w:end w:w="140" w:type="dxa"/>
            </w:tcMar>
            <w:vAlign w:val="center"/>
            <w:shd w:fill="E8EEF5"/>
          </w:tcPr>
          <w:p>
            <w:pPr>
              <w:jc w:val="center"/>
            </w:pPr>
            <w:r>
              <w:rPr>
                <w:rFonts w:ascii="Calibri" w:hAnsi="Calibri"/>
                <w:b/>
                <w:color w:val="0B2545"/>
                <w:sz w:val="20"/>
              </w:rPr>
              <w:t>Application</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Datacenters IA</w:t>
            </w:r>
          </w:p>
        </w:tc>
        <w:tc>
          <w:tcPr>
            <w:tcW w:type="dxa" w:w="6360"/>
            <w:tcMar>
              <w:top w:w="100" w:type="dxa"/>
              <w:start w:w="140" w:type="dxa"/>
              <w:bottom w:w="100" w:type="dxa"/>
              <w:end w:w="140" w:type="dxa"/>
            </w:tcMar>
            <w:vAlign w:val="center"/>
          </w:tcPr>
          <w:p>
            <w:pPr>
              <w:jc w:val="center"/>
            </w:pPr>
            <w:r>
              <w:rPr>
                <w:rFonts w:ascii="Calibri" w:hAnsi="Calibri"/>
                <w:color w:val="14181F"/>
                <w:sz w:val="20"/>
              </w:rPr>
              <w:t>Refroidissement de clusters GPU haute densité pour entraînement, inférence et modèles generatifs.</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HPC</w:t>
            </w:r>
          </w:p>
        </w:tc>
        <w:tc>
          <w:tcPr>
            <w:tcW w:type="dxa" w:w="6360"/>
            <w:tcMar>
              <w:top w:w="100" w:type="dxa"/>
              <w:start w:w="140" w:type="dxa"/>
              <w:bottom w:w="100" w:type="dxa"/>
              <w:end w:w="140" w:type="dxa"/>
            </w:tcMar>
            <w:vAlign w:val="center"/>
          </w:tcPr>
          <w:p>
            <w:pPr>
              <w:jc w:val="center"/>
            </w:pPr>
            <w:r>
              <w:rPr>
                <w:rFonts w:ascii="Calibri" w:hAnsi="Calibri"/>
                <w:color w:val="14181F"/>
                <w:sz w:val="20"/>
              </w:rPr>
              <w:t>Support des charges de calcul scientifique, simulation, recherche, modélisation et calcul intensif.</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Cloud computing</w:t>
            </w:r>
          </w:p>
        </w:tc>
        <w:tc>
          <w:tcPr>
            <w:tcW w:type="dxa" w:w="6360"/>
            <w:tcMar>
              <w:top w:w="100" w:type="dxa"/>
              <w:start w:w="140" w:type="dxa"/>
              <w:bottom w:w="100" w:type="dxa"/>
              <w:end w:w="140" w:type="dxa"/>
            </w:tcMar>
            <w:vAlign w:val="center"/>
          </w:tcPr>
          <w:p>
            <w:pPr>
              <w:jc w:val="center"/>
            </w:pPr>
            <w:r>
              <w:rPr>
                <w:rFonts w:ascii="Calibri" w:hAnsi="Calibri"/>
                <w:color w:val="14181F"/>
                <w:sz w:val="20"/>
              </w:rPr>
              <w:t>Optimisation thermique d’infrastructures cloud a grande echelle.</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Minage numérique</w:t>
            </w:r>
          </w:p>
        </w:tc>
        <w:tc>
          <w:tcPr>
            <w:tcW w:type="dxa" w:w="6360"/>
            <w:tcMar>
              <w:top w:w="100" w:type="dxa"/>
              <w:start w:w="140" w:type="dxa"/>
              <w:bottom w:w="100" w:type="dxa"/>
              <w:end w:w="140" w:type="dxa"/>
            </w:tcMar>
            <w:vAlign w:val="center"/>
          </w:tcPr>
          <w:p>
            <w:pPr>
              <w:jc w:val="center"/>
            </w:pPr>
            <w:r>
              <w:rPr>
                <w:rFonts w:ascii="Calibri" w:hAnsi="Calibri"/>
                <w:color w:val="14181F"/>
                <w:sz w:val="20"/>
              </w:rPr>
              <w:t>Stabilisation thermique des ASIC, réduction du bruit et amélioration des conditions d’exploitation.</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Edge computing</w:t>
            </w:r>
          </w:p>
        </w:tc>
        <w:tc>
          <w:tcPr>
            <w:tcW w:type="dxa" w:w="6360"/>
            <w:tcMar>
              <w:top w:w="100" w:type="dxa"/>
              <w:start w:w="140" w:type="dxa"/>
              <w:bottom w:w="100" w:type="dxa"/>
              <w:end w:w="140" w:type="dxa"/>
            </w:tcMar>
            <w:vAlign w:val="center"/>
          </w:tcPr>
          <w:p>
            <w:pPr>
              <w:jc w:val="center"/>
            </w:pPr>
            <w:r>
              <w:rPr>
                <w:rFonts w:ascii="Calibri" w:hAnsi="Calibri"/>
                <w:color w:val="14181F"/>
                <w:sz w:val="20"/>
              </w:rPr>
              <w:t>Déploiement d’infrastructures compactes dans des environnements contraints.</w:t>
            </w:r>
          </w:p>
        </w:tc>
      </w:tr>
      <w:tr>
        <w:tc>
          <w:tcPr>
            <w:tcW w:type="dxa" w:w="3000"/>
            <w:tcMar>
              <w:top w:w="100" w:type="dxa"/>
              <w:start w:w="140" w:type="dxa"/>
              <w:bottom w:w="100" w:type="dxa"/>
              <w:end w:w="140" w:type="dxa"/>
            </w:tcMar>
            <w:vAlign w:val="center"/>
          </w:tcPr>
          <w:p>
            <w:pPr>
              <w:jc w:val="left"/>
            </w:pPr>
            <w:r>
              <w:rPr>
                <w:rFonts w:ascii="Calibri" w:hAnsi="Calibri"/>
                <w:color w:val="14181F"/>
                <w:sz w:val="20"/>
              </w:rPr>
              <w:t>OEM et integrateurs</w:t>
            </w:r>
          </w:p>
        </w:tc>
        <w:tc>
          <w:tcPr>
            <w:tcW w:type="dxa" w:w="6360"/>
            <w:tcMar>
              <w:top w:w="100" w:type="dxa"/>
              <w:start w:w="140" w:type="dxa"/>
              <w:bottom w:w="100" w:type="dxa"/>
              <w:end w:w="140" w:type="dxa"/>
            </w:tcMar>
            <w:vAlign w:val="center"/>
          </w:tcPr>
          <w:p>
            <w:pPr>
              <w:jc w:val="center"/>
            </w:pPr>
            <w:r>
              <w:rPr>
                <w:rFonts w:ascii="Calibri" w:hAnsi="Calibri"/>
                <w:color w:val="14181F"/>
                <w:sz w:val="20"/>
              </w:rPr>
              <w:t>Developpement de solutions serveurs, cuves, racks ou modules compatibles immersion.</w:t>
            </w:r>
          </w:p>
        </w:tc>
      </w:tr>
    </w:tbl>
    <w:p/>
    <w:p>
      <w:pPr>
        <w:pStyle w:val="Heading1"/>
      </w:pPr>
      <w:r>
        <w:rPr>
          <w:rFonts w:ascii="Calibri" w:hAnsi="Calibri"/>
          <w:b w:val="0"/>
          <w:i w:val="0"/>
        </w:rPr>
        <w:t>15. Bonnes pratiques de déploiement</w:t>
      </w:r>
    </w:p>
    <w:p>
      <w:pPr>
        <w:pStyle w:val="ListBullet"/>
        <w:spacing w:after="80" w:line="276" w:lineRule="auto"/>
      </w:pPr>
      <w:r>
        <w:rPr>
          <w:rFonts w:ascii="Calibri" w:hAnsi="Calibri"/>
          <w:color w:val="14181F"/>
          <w:sz w:val="21"/>
        </w:rPr>
        <w:t>auditer les équipements à immerger</w:t>
      </w:r>
    </w:p>
    <w:p>
      <w:pPr>
        <w:pStyle w:val="ListBullet"/>
        <w:spacing w:after="80" w:line="276" w:lineRule="auto"/>
      </w:pPr>
      <w:r>
        <w:rPr>
          <w:rFonts w:ascii="Calibri" w:hAnsi="Calibri"/>
          <w:color w:val="14181F"/>
          <w:sz w:val="21"/>
        </w:rPr>
        <w:t>vérifier la compatibilité matériaux</w:t>
      </w:r>
    </w:p>
    <w:p>
      <w:pPr>
        <w:pStyle w:val="ListBullet"/>
        <w:spacing w:after="80" w:line="276" w:lineRule="auto"/>
      </w:pPr>
      <w:r>
        <w:rPr>
          <w:rFonts w:ascii="Calibri" w:hAnsi="Calibri"/>
          <w:color w:val="14181F"/>
          <w:sz w:val="21"/>
        </w:rPr>
        <w:t>sélectionner un fluide diélectrique qualifie</w:t>
      </w:r>
    </w:p>
    <w:p>
      <w:pPr>
        <w:pStyle w:val="ListBullet"/>
        <w:spacing w:after="80" w:line="276" w:lineRule="auto"/>
      </w:pPr>
      <w:r>
        <w:rPr>
          <w:rFonts w:ascii="Calibri" w:hAnsi="Calibri"/>
          <w:color w:val="14181F"/>
          <w:sz w:val="21"/>
        </w:rPr>
        <w:t>definir les objectifs thermiques</w:t>
      </w:r>
    </w:p>
    <w:p>
      <w:pPr>
        <w:pStyle w:val="ListBullet"/>
        <w:spacing w:after="80" w:line="276" w:lineRule="auto"/>
      </w:pPr>
      <w:r>
        <w:rPr>
          <w:rFonts w:ascii="Calibri" w:hAnsi="Calibri"/>
          <w:color w:val="14181F"/>
          <w:sz w:val="21"/>
        </w:rPr>
        <w:t>integrer une filtration adaptée</w:t>
      </w:r>
    </w:p>
    <w:p>
      <w:pPr>
        <w:pStyle w:val="ListBullet"/>
        <w:spacing w:after="80" w:line="276" w:lineRule="auto"/>
      </w:pPr>
      <w:r>
        <w:rPr>
          <w:rFonts w:ascii="Calibri" w:hAnsi="Calibri"/>
          <w:color w:val="14181F"/>
          <w:sz w:val="21"/>
        </w:rPr>
        <w:t>monitorer les températures en continu</w:t>
      </w:r>
    </w:p>
    <w:p>
      <w:pPr>
        <w:pStyle w:val="ListBullet"/>
        <w:spacing w:after="80" w:line="276" w:lineRule="auto"/>
      </w:pPr>
      <w:r>
        <w:rPr>
          <w:rFonts w:ascii="Calibri" w:hAnsi="Calibri"/>
          <w:color w:val="14181F"/>
          <w:sz w:val="21"/>
        </w:rPr>
        <w:t>suivre périodiquement la rigidité diélectrique</w:t>
      </w:r>
    </w:p>
    <w:p>
      <w:pPr>
        <w:pStyle w:val="ListBullet"/>
        <w:spacing w:after="80" w:line="276" w:lineRule="auto"/>
      </w:pPr>
      <w:r>
        <w:rPr>
          <w:rFonts w:ascii="Calibri" w:hAnsi="Calibri"/>
          <w:color w:val="14181F"/>
          <w:sz w:val="21"/>
        </w:rPr>
        <w:t>contrôler l'humidité et l’acidité</w:t>
      </w:r>
    </w:p>
    <w:p>
      <w:pPr>
        <w:pStyle w:val="ListBullet"/>
        <w:spacing w:after="80" w:line="276" w:lineRule="auto"/>
      </w:pPr>
      <w:r>
        <w:rPr>
          <w:rFonts w:ascii="Calibri" w:hAnsi="Calibri"/>
          <w:color w:val="14181F"/>
          <w:sz w:val="21"/>
        </w:rPr>
        <w:t>documenter les procedures de maintenance</w:t>
      </w:r>
    </w:p>
    <w:p>
      <w:pPr>
        <w:pStyle w:val="ListBullet"/>
        <w:spacing w:after="80" w:line="276" w:lineRule="auto"/>
      </w:pPr>
      <w:r>
        <w:rPr>
          <w:rFonts w:ascii="Calibri" w:hAnsi="Calibri"/>
          <w:color w:val="14181F"/>
          <w:sz w:val="21"/>
        </w:rPr>
        <w:t>former les equipes techniques</w:t>
      </w:r>
    </w:p>
    <w:p>
      <w:r>
        <w:rPr>
          <w:rFonts w:ascii="Calibri" w:hAnsi="Calibri"/>
          <w:b w:val="0"/>
          <w:i w:val="0"/>
        </w:rPr>
        <w:t>Le succès d’un projet d’immersion ne repose pas uniquement sur la cuve ou le fluide. Il dépend de l’ensemble de l’architecture thermique, électrique et opérationnelle.</w:t>
      </w:r>
    </w:p>
    <w:p>
      <w:pPr>
        <w:pStyle w:val="Heading1"/>
      </w:pPr>
      <w:r>
        <w:rPr>
          <w:rFonts w:ascii="Calibri" w:hAnsi="Calibri"/>
          <w:b w:val="0"/>
          <w:i w:val="0"/>
        </w:rPr>
        <w:t>16. Vision long terme</w:t>
      </w:r>
    </w:p>
    <w:p>
      <w:r>
        <w:rPr>
          <w:rFonts w:ascii="Calibri" w:hAnsi="Calibri"/>
          <w:b w:val="0"/>
          <w:i w:val="0"/>
        </w:rPr>
        <w:t>VOLTANEUM™ s’inscrit dans une stratégie visant à accompagner la prochaine génération d’infrastructures numériques : datacenters IA, infrastructures souveraines, HPC européen, cloud nouvelle génération, edge computing, infrastructures ASIC haute densité, datacenters eco-responsables et architectures thermiques prêtes pour la récupération de chaleur.</w:t>
      </w:r>
    </w:p>
    <w:p>
      <w:r>
        <w:rPr>
          <w:rFonts w:ascii="Calibri" w:hAnsi="Calibri"/>
          <w:b w:val="0"/>
          <w:i w:val="0"/>
        </w:rPr>
        <w:t>La croissance du calcul intensif impose de repenser l’infrastructure depuis sa base thermique. Dans cette vision, le refroidissement liquide n’est pas un simple remplacement du refroidissement par air : il devient un socle de conception.</w:t>
      </w:r>
    </w:p>
    <w:p>
      <w:pPr>
        <w:pStyle w:val="Heading1"/>
      </w:pPr>
      <w:r>
        <w:rPr>
          <w:rFonts w:ascii="Calibri" w:hAnsi="Calibri"/>
          <w:b w:val="0"/>
          <w:i w:val="0"/>
        </w:rPr>
        <w:t>17. About ITNET Technologies</w:t>
      </w:r>
    </w:p>
    <w:p>
      <w:r>
        <w:rPr>
          <w:rFonts w:ascii="Calibri" w:hAnsi="Calibri"/>
          <w:b w:val="0"/>
          <w:i w:val="0"/>
        </w:rPr>
        <w:t>ITNET Technologies développe des solutions d'infrastructure numérique orientees vers les nouveaux besoins du calcul haute densité.</w:t>
      </w:r>
    </w:p>
    <w:p>
      <w:pPr>
        <w:pStyle w:val="ListBullet"/>
        <w:spacing w:after="80" w:line="276" w:lineRule="auto"/>
      </w:pPr>
      <w:r>
        <w:rPr>
          <w:rFonts w:ascii="Calibri" w:hAnsi="Calibri"/>
          <w:color w:val="14181F"/>
          <w:sz w:val="21"/>
        </w:rPr>
        <w:t>immersion cooling</w:t>
      </w:r>
    </w:p>
    <w:p>
      <w:pPr>
        <w:pStyle w:val="ListBullet"/>
        <w:spacing w:after="80" w:line="276" w:lineRule="auto"/>
      </w:pPr>
      <w:r>
        <w:rPr>
          <w:rFonts w:ascii="Calibri" w:hAnsi="Calibri"/>
          <w:color w:val="14181F"/>
          <w:sz w:val="21"/>
        </w:rPr>
        <w:t>cloud computing</w:t>
      </w:r>
    </w:p>
    <w:p>
      <w:pPr>
        <w:pStyle w:val="ListBullet"/>
        <w:spacing w:after="80" w:line="276" w:lineRule="auto"/>
      </w:pPr>
      <w:r>
        <w:rPr>
          <w:rFonts w:ascii="Calibri" w:hAnsi="Calibri"/>
          <w:color w:val="14181F"/>
          <w:sz w:val="21"/>
        </w:rPr>
        <w:t>infrastructures IA</w:t>
      </w:r>
    </w:p>
    <w:p>
      <w:pPr>
        <w:pStyle w:val="ListBullet"/>
        <w:spacing w:after="80" w:line="276" w:lineRule="auto"/>
      </w:pPr>
      <w:r>
        <w:rPr>
          <w:rFonts w:ascii="Calibri" w:hAnsi="Calibri"/>
          <w:color w:val="14181F"/>
          <w:sz w:val="21"/>
        </w:rPr>
        <w:t>datacenters eco-responsables</w:t>
      </w:r>
    </w:p>
    <w:p>
      <w:pPr>
        <w:pStyle w:val="ListBullet"/>
        <w:spacing w:after="80" w:line="276" w:lineRule="auto"/>
      </w:pPr>
      <w:r>
        <w:rPr>
          <w:rFonts w:ascii="Calibri" w:hAnsi="Calibri"/>
          <w:color w:val="14181F"/>
          <w:sz w:val="21"/>
        </w:rPr>
        <w:t>technologies haute densité</w:t>
      </w:r>
    </w:p>
    <w:p>
      <w:pPr>
        <w:pStyle w:val="ListBullet"/>
        <w:spacing w:after="80" w:line="276" w:lineRule="auto"/>
      </w:pPr>
      <w:r>
        <w:rPr>
          <w:rFonts w:ascii="Calibri" w:hAnsi="Calibri"/>
          <w:color w:val="14181F"/>
          <w:sz w:val="21"/>
        </w:rPr>
        <w:t>optimisation énergétique des infrastructures numériques</w:t>
      </w:r>
    </w:p>
    <w:p>
      <w:r>
        <w:rPr>
          <w:rFonts w:ascii="Calibri" w:hAnsi="Calibri"/>
          <w:b w:val="0"/>
          <w:i w:val="0"/>
        </w:rPr>
        <w:t>À travers VOLTANEUM™, ITNET Technologies accompagne l'evolution des datacenters vers des architectures plus compactes, plus performantes et mieux adaptées aux contraintes thermiques du calcul intensif.</w:t>
      </w:r>
    </w:p>
    <w:p>
      <w:pPr>
        <w:pStyle w:val="Heading1"/>
      </w:pPr>
      <w:r>
        <w:rPr>
          <w:rFonts w:ascii="Calibri" w:hAnsi="Calibri"/>
          <w:b w:val="0"/>
          <w:i w:val="0"/>
        </w:rPr>
        <w:t>18. Conclusion</w:t>
      </w:r>
    </w:p>
    <w:p>
      <w:r>
        <w:rPr>
          <w:rFonts w:ascii="Calibri" w:hAnsi="Calibri"/>
          <w:b w:val="0"/>
          <w:i w:val="0"/>
        </w:rPr>
        <w:t>L’immersion cooling n’est plus une technologie experimentale. Elle devient une réponse stratégique aux limites du refroidissement par air dans les infrastructures numériques haute densité.</w:t>
      </w:r>
    </w:p>
    <w:p>
      <w:r>
        <w:rPr>
          <w:rFonts w:ascii="Calibri" w:hAnsi="Calibri"/>
          <w:b w:val="0"/>
          <w:i w:val="0"/>
        </w:rPr>
        <w:t>Face à l'essor de l’intelligence artificielle, du HPC, du cloud et des architectures GPU intensives, les datacenters doivent evoluer vers des modèles plus efficaces, plus compacts et plus durables.</w:t>
      </w:r>
    </w:p>
    <w:p>
      <w:r>
        <w:rPr>
          <w:rFonts w:ascii="Calibri" w:hAnsi="Calibri"/>
          <w:b w:val="0"/>
          <w:i w:val="0"/>
        </w:rPr>
        <w:t>VOLTANEUM™ s’inscrit dans cette transformation comme un fluide diélectrique nouvelle génération, conçu pour répondre aux exigences de performance thermique, de securite électrique et de stabilité long terme.</w:t>
      </w:r>
    </w:p>
    <w:p>
      <w:r>
        <w:rPr>
          <w:rFonts w:ascii="Calibri" w:hAnsi="Calibri"/>
          <w:b w:val="0"/>
          <w:i w:val="0"/>
        </w:rPr>
        <w:t>En permettant une dissipation directe de la chaleur, une réduction des contraintes mécaniques et une amélioration de l'efficacité énergétique, VOLTANEUM™ contribue à bâtir les datacenters de prochaine génération.</w:t>
      </w:r>
    </w:p>
    <w:tbl>
      <w:tblPr>
        <w:tblW w:type="dxa" w:w="9360"/>
        <w:jc w:val="center"/>
        <w:tblLayout w:type="fixed"/>
        <w:tblLook w:firstColumn="1" w:firstRow="1" w:lastColumn="0" w:lastRow="0" w:noHBand="0" w:noVBand="1" w:val="04A0"/>
      </w:tblPr>
      <w:tblGrid>
        <w:gridCol w:w="9360"/>
      </w:tblGrid>
      <w:tr>
        <w:tc>
          <w:tcPr>
            <w:tcW w:type="dxa" w:w="9360"/>
            <w:tcMar>
              <w:top w:w="100" w:type="dxa"/>
              <w:start w:w="140" w:type="dxa"/>
              <w:bottom w:w="100" w:type="dxa"/>
              <w:end w:w="140" w:type="dxa"/>
            </w:tcMar>
            <w:vAlign w:val="center"/>
            <w:shd w:fill="EAF3F6"/>
          </w:tcPr>
          <w:p>
            <w:pPr>
              <w:spacing w:after="60"/>
            </w:pPr>
            <w:r>
              <w:rPr>
                <w:rFonts w:ascii="Calibri" w:hAnsi="Calibri"/>
                <w:b/>
                <w:color w:val="0B2545"/>
                <w:sz w:val="22"/>
              </w:rPr>
              <w:t>Message final</w:t>
            </w:r>
          </w:p>
          <w:p>
            <w:pPr>
              <w:spacing w:after="0"/>
            </w:pPr>
            <w:r>
              <w:rPr>
                <w:rFonts w:ascii="Calibri" w:hAnsi="Calibri"/>
                <w:color w:val="14181F"/>
                <w:sz w:val="21"/>
              </w:rPr>
              <w:t>Le futur des infrastructures numériques haute densité passera par le refroidissement liquide. L’immersion cooling en serà l'un des piliers stratégiques.</w:t>
            </w:r>
          </w:p>
        </w:tc>
      </w:tr>
    </w:tbl>
    <w:p/>
    <w:p>
      <w:pPr>
        <w:pStyle w:val="Heading1"/>
      </w:pPr>
      <w:r>
        <w:rPr>
          <w:rFonts w:ascii="Calibri" w:hAnsi="Calibri"/>
          <w:b w:val="0"/>
          <w:i w:val="0"/>
        </w:rPr>
        <w:t>Disclaimer</w:t>
      </w:r>
    </w:p>
    <w:p>
      <w:r>
        <w:rPr>
          <w:rFonts w:ascii="Calibri" w:hAnsi="Calibri"/>
          <w:b w:val="0"/>
          <w:i w:val="0"/>
        </w:rPr>
        <w:t>Les performances mentionnées peuvent varier selon l’architecture thermique, la charge informatique, les équipements utilisés, la densité par rack, les conditions environnementales, la qualité de l'intégration système, les protocoles de maintenance et les paramêtres de monitoring.</w:t>
      </w:r>
    </w:p>
    <w:p>
      <w:r>
        <w:rPr>
          <w:rFonts w:ascii="Calibri" w:hAnsi="Calibri"/>
          <w:b w:val="0"/>
          <w:i w:val="0"/>
        </w:rPr>
        <w:t>Toute mise en production doit être précédée d’une validation technique adaptée aux contraintes de l’infrastructure cible.</w:t>
      </w:r>
    </w:p>
    <w:sectPr w:rsidR="00FC693F" w:rsidRPr="0006063C" w:rsidSect="00034616">
      <w:headerReference w:type="default" r:id="rId9"/>
      <w:footerReference w:type="default" r:id="rId10"/>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Calibri" w:hAnsi="Calibri"/>
        <w:color w:val="4D5B6E"/>
        <w:sz w:val="18"/>
      </w:rPr>
      <w:t>ITNET Technologies - Immersion Cooling Infrastructure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Calibri" w:hAnsi="Calibri"/>
        <w:color w:val="4D5B6E"/>
        <w:sz w:val="18"/>
      </w:rPr>
      <w:t>VOLTANEUM™ | Livre blanc technique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64" w:lineRule="auto"/>
    </w:pPr>
    <w:rPr>
      <w:rFonts w:ascii="Calibri" w:hAnsi="Calibri"/>
      <w:color w:val="14181F"/>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20" w:after="160"/>
      <w:outlineLvl w:val="0"/>
    </w:pPr>
    <w:rPr>
      <w:rFonts w:asciiTheme="majorHAnsi" w:eastAsiaTheme="majorEastAsia" w:hAnsiTheme="majorHAnsi" w:cstheme="majorBidi" w:ascii="Calibri" w:hAnsi="Calibri"/>
      <w:b/>
      <w:bCs/>
      <w:color w:val="0B2545"/>
      <w:sz w:val="32"/>
      <w:szCs w:val="28"/>
    </w:rPr>
  </w:style>
  <w:style w:type="paragraph" w:styleId="Heading2">
    <w:name w:val="heading 2"/>
    <w:basedOn w:val="Normal"/>
    <w:next w:val="Normal"/>
    <w:link w:val="Heading2Char"/>
    <w:uiPriority w:val="9"/>
    <w:unhideWhenUsed/>
    <w:qFormat/>
    <w:rsid w:val="00FC693F"/>
    <w:pPr>
      <w:keepNext/>
      <w:keepLines/>
      <w:spacing w:before="240" w:after="120"/>
      <w:outlineLvl w:val="1"/>
    </w:pPr>
    <w:rPr>
      <w:rFonts w:asciiTheme="majorHAnsi" w:eastAsiaTheme="majorEastAsia" w:hAnsiTheme="majorHAnsi" w:cstheme="majorBidi" w:ascii="Calibri" w:hAnsi="Calibri"/>
      <w:b/>
      <w:bCs/>
      <w:color w:val="008294"/>
      <w:sz w:val="26"/>
      <w:szCs w:val="26"/>
    </w:rPr>
  </w:style>
  <w:style w:type="paragraph" w:styleId="Heading3">
    <w:name w:val="heading 3"/>
    <w:basedOn w:val="Normal"/>
    <w:next w:val="Normal"/>
    <w:link w:val="Heading3Char"/>
    <w:uiPriority w:val="9"/>
    <w:unhideWhenUsed/>
    <w:qFormat/>
    <w:rsid w:val="00FC693F"/>
    <w:pPr>
      <w:keepNext/>
      <w:keepLines/>
      <w:spacing w:before="160" w:after="80"/>
      <w:outlineLvl w:val="2"/>
    </w:pPr>
    <w:rPr>
      <w:rFonts w:asciiTheme="majorHAnsi" w:eastAsiaTheme="majorEastAsia" w:hAnsiTheme="majorHAnsi" w:cstheme="majorBidi" w:ascii="Calibri" w:hAnsi="Calibri"/>
      <w:b/>
      <w:bCs/>
      <w:color w:val="0B2545"/>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